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215900</wp:posOffset>
            </wp:positionH>
            <wp:positionV relativeFrom="page">
              <wp:posOffset>359410</wp:posOffset>
            </wp:positionV>
            <wp:extent cx="71259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5970" cy="8255"/>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325755</wp:posOffset>
            </wp:positionV>
            <wp:extent cx="7125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597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122555</wp:posOffset>
            </wp:positionV>
            <wp:extent cx="1183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145415</wp:posOffset>
            </wp:positionV>
            <wp:extent cx="1183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6" w:lineRule="exact"/>
        <w:rPr>
          <w:sz w:val="24"/>
          <w:szCs w:val="24"/>
          <w:color w:val="auto"/>
        </w:rPr>
      </w:pPr>
    </w:p>
    <w:p>
      <w:pPr>
        <w:ind w:left="340" w:hanging="316"/>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3440" w:right="1780" w:hanging="3416"/>
        <w:spacing w:after="0" w:line="472" w:lineRule="auto"/>
        <w:tabs>
          <w:tab w:leader="none" w:pos="354"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 to_________</w:t>
      </w:r>
    </w:p>
    <w:p>
      <w:pPr>
        <w:spacing w:after="0" w:line="1" w:lineRule="exact"/>
        <w:rPr>
          <w:rFonts w:ascii="MS PGothic" w:cs="MS PGothic" w:eastAsia="MS PGothic" w:hAnsi="MS PGothic"/>
          <w:sz w:val="21"/>
          <w:szCs w:val="21"/>
          <w:color w:val="auto"/>
        </w:rPr>
      </w:pPr>
    </w:p>
    <w:p>
      <w:pPr>
        <w:ind w:left="408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201930</wp:posOffset>
            </wp:positionV>
            <wp:extent cx="1183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PRAXIS PRECISION MEDICINES,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194945</wp:posOffset>
            </wp:positionV>
            <wp:extent cx="1183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2480" w:type="dxa"/>
        <w:tblCellMar>
          <w:top w:w="0" w:type="dxa"/>
          <w:left w:w="0" w:type="dxa"/>
          <w:bottom w:w="0" w:type="dxa"/>
          <w:right w:w="0" w:type="dxa"/>
        </w:tblCellMar>
      </w:tblPr>
      <w:tr>
        <w:trPr>
          <w:trHeight w:val="22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851"/>
              <w:spacing w:after="0"/>
              <w:rPr>
                <w:sz w:val="20"/>
                <w:szCs w:val="20"/>
                <w:color w:val="auto"/>
              </w:rPr>
            </w:pPr>
            <w:r>
              <w:rPr>
                <w:rFonts w:ascii="Times New Roman" w:cs="Times New Roman" w:eastAsia="Times New Roman" w:hAnsi="Times New Roman"/>
                <w:sz w:val="18"/>
                <w:szCs w:val="18"/>
                <w:b w:val="1"/>
                <w:bCs w:val="1"/>
                <w:color w:val="auto"/>
              </w:rPr>
              <w:t>47-5195942</w:t>
            </w:r>
          </w:p>
        </w:tc>
        <w:tc>
          <w:tcPr>
            <w:tcW w:w="0" w:type="dxa"/>
            <w:vAlign w:val="bottom"/>
          </w:tcPr>
          <w:p>
            <w:pPr>
              <w:spacing w:after="0"/>
              <w:rPr>
                <w:sz w:val="1"/>
                <w:szCs w:val="1"/>
                <w:color w:val="auto"/>
              </w:rPr>
            </w:pPr>
          </w:p>
        </w:tc>
      </w:tr>
      <w:tr>
        <w:trPr>
          <w:trHeight w:val="186"/>
        </w:trPr>
        <w:tc>
          <w:tcPr>
            <w:tcW w:w="360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8"/>
              </w:rPr>
              <w:t>(State or other jurisdiction of incorporation or</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(I.R.S. Employer Identification No.)</w:t>
            </w:r>
          </w:p>
        </w:tc>
        <w:tc>
          <w:tcPr>
            <w:tcW w:w="0" w:type="dxa"/>
            <w:vAlign w:val="bottom"/>
          </w:tcPr>
          <w:p>
            <w:pPr>
              <w:spacing w:after="0"/>
              <w:rPr>
                <w:sz w:val="1"/>
                <w:szCs w:val="1"/>
                <w:color w:val="auto"/>
              </w:rPr>
            </w:pPr>
          </w:p>
        </w:tc>
      </w:tr>
      <w:tr>
        <w:trPr>
          <w:trHeight w:val="23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2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99 High Street, 30th Floor</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Boston, MA</w:t>
            </w:r>
          </w:p>
        </w:tc>
        <w:tc>
          <w:tcPr>
            <w:tcW w:w="2800" w:type="dxa"/>
            <w:vAlign w:val="bottom"/>
          </w:tcPr>
          <w:p>
            <w:pPr>
              <w:jc w:val="right"/>
              <w:ind w:right="1051"/>
              <w:spacing w:after="0"/>
              <w:rPr>
                <w:sz w:val="20"/>
                <w:szCs w:val="20"/>
                <w:color w:val="auto"/>
              </w:rPr>
            </w:pPr>
            <w:r>
              <w:rPr>
                <w:rFonts w:ascii="Times New Roman" w:cs="Times New Roman" w:eastAsia="Times New Roman" w:hAnsi="Times New Roman"/>
                <w:sz w:val="18"/>
                <w:szCs w:val="18"/>
                <w:b w:val="1"/>
                <w:bCs w:val="1"/>
                <w:color w:val="auto"/>
              </w:rPr>
              <w:t>02110</w:t>
            </w:r>
          </w:p>
        </w:tc>
        <w:tc>
          <w:tcPr>
            <w:tcW w:w="0" w:type="dxa"/>
            <w:vAlign w:val="bottom"/>
          </w:tcPr>
          <w:p>
            <w:pPr>
              <w:spacing w:after="0"/>
              <w:rPr>
                <w:sz w:val="1"/>
                <w:szCs w:val="1"/>
                <w:color w:val="auto"/>
              </w:rPr>
            </w:pPr>
          </w:p>
        </w:tc>
      </w:tr>
      <w:tr>
        <w:trPr>
          <w:trHeight w:val="23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617-300-8460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128905</wp:posOffset>
            </wp:positionV>
            <wp:extent cx="1183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4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w:t>
            </w:r>
          </w:p>
        </w:tc>
        <w:tc>
          <w:tcPr>
            <w:tcW w:w="0" w:type="dxa"/>
            <w:vAlign w:val="bottom"/>
          </w:tcPr>
          <w:p>
            <w:pPr>
              <w:spacing w:after="0"/>
              <w:rPr>
                <w:sz w:val="1"/>
                <w:szCs w:val="1"/>
                <w:color w:val="auto"/>
              </w:rPr>
            </w:pPr>
          </w:p>
        </w:tc>
      </w:tr>
      <w:tr>
        <w:trPr>
          <w:trHeight w:val="233"/>
        </w:trPr>
        <w:tc>
          <w:tcPr>
            <w:tcW w:w="4000" w:type="dxa"/>
            <w:vAlign w:val="bottom"/>
            <w:gridSpan w:val="2"/>
            <w:vMerge w:val="continue"/>
          </w:tcPr>
          <w:p>
            <w:pPr>
              <w:spacing w:after="0"/>
              <w:rPr>
                <w:sz w:val="20"/>
                <w:szCs w:val="20"/>
                <w:color w:val="auto"/>
              </w:rPr>
            </w:pPr>
          </w:p>
        </w:tc>
        <w:tc>
          <w:tcPr>
            <w:tcW w:w="4120" w:type="dxa"/>
            <w:vAlign w:val="bottom"/>
            <w:gridSpan w:val="2"/>
            <w:vMerge w:val="continue"/>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7"/>
        </w:trPr>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 par value $0.0001 per share</w:t>
            </w:r>
          </w:p>
        </w:tc>
        <w:tc>
          <w:tcPr>
            <w:tcW w:w="8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PRAX</w:t>
            </w:r>
          </w:p>
        </w:tc>
        <w:tc>
          <w:tcPr>
            <w:tcW w:w="8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1"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20"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2"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4"/>
          <w:szCs w:val="24"/>
          <w:color w:val="auto"/>
        </w:rPr>
      </w:pPr>
    </w:p>
    <w:p>
      <w:pPr>
        <w:ind w:right="260" w:firstLine="320"/>
        <w:spacing w:after="0" w:line="20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60" w:firstLine="320"/>
        <w:spacing w:after="0" w:line="26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ind w:right="160" w:firstLine="3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8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6"/>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8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18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5060" w:type="dxa"/>
            <w:vAlign w:val="bottom"/>
          </w:tcPr>
          <w:p>
            <w:pPr>
              <w:ind w:left="282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140" w:firstLine="32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0" w:lineRule="exact"/>
        <w:rPr>
          <w:sz w:val="24"/>
          <w:szCs w:val="24"/>
          <w:color w:val="auto"/>
        </w:rPr>
      </w:pPr>
    </w:p>
    <w:p>
      <w:pPr>
        <w:ind w:right="180" w:firstLine="320"/>
        <w:spacing w:after="0" w:line="274"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issued its audit report. </w:t>
      </w:r>
      <w:r>
        <w:rPr>
          <w:rFonts w:ascii="MS PGothic" w:cs="MS PGothic" w:eastAsia="MS PGothic" w:hAnsi="MS PGothic"/>
          <w:sz w:val="17"/>
          <w:szCs w:val="17"/>
          <w:color w:val="auto"/>
        </w:rPr>
        <w:t>☒</w:t>
      </w:r>
    </w:p>
    <w:p>
      <w:pPr>
        <w:sectPr>
          <w:pgSz w:w="11900" w:h="16838" w:orient="portrait"/>
          <w:cols w:equalWidth="0" w:num="1">
            <w:col w:w="11220"/>
          </w:cols>
          <w:pgMar w:left="320" w:top="746" w:right="359" w:bottom="0" w:gutter="0" w:footer="0" w:header="0"/>
        </w:sectPr>
      </w:pPr>
    </w:p>
    <w:bookmarkStart w:id="1" w:name="page2"/>
    <w:bookmarkEnd w:id="1"/>
    <w:p>
      <w:pPr>
        <w:ind w:right="60" w:firstLine="320"/>
        <w:spacing w:after="0" w:line="227"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87" w:lineRule="exact"/>
        <w:rPr>
          <w:sz w:val="20"/>
          <w:szCs w:val="20"/>
          <w:color w:val="auto"/>
        </w:rPr>
      </w:pPr>
    </w:p>
    <w:p>
      <w:pPr>
        <w:ind w:right="400" w:firstLine="320"/>
        <w:spacing w:after="0" w:line="22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4" w:lineRule="exact"/>
        <w:rPr>
          <w:sz w:val="20"/>
          <w:szCs w:val="20"/>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1" w:lineRule="exact"/>
        <w:rPr>
          <w:sz w:val="20"/>
          <w:szCs w:val="20"/>
          <w:color w:val="auto"/>
        </w:rPr>
      </w:pPr>
    </w:p>
    <w:p>
      <w:pPr>
        <w:ind w:firstLine="320"/>
        <w:spacing w:after="0" w:line="260"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a share of common stock on June 30, 2025 as reported by the Nasdaq Global Select Market on such date was approximately $883.2 million. This calculation does not reflect a determination that certain persons are affiliates of the registrant for any other purpose.</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February 16, 2026, the registrant had 27,850,833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412115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213360</wp:posOffset>
            </wp:positionV>
            <wp:extent cx="7125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59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179705</wp:posOffset>
            </wp:positionV>
            <wp:extent cx="7125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5970" cy="8255"/>
                    </a:xfrm>
                    <a:prstGeom prst="rect">
                      <a:avLst/>
                    </a:prstGeom>
                    <a:noFill/>
                  </pic:spPr>
                </pic:pic>
              </a:graphicData>
            </a:graphic>
          </wp:anchor>
        </w:drawing>
      </w:r>
    </w:p>
    <w:p>
      <w:pPr>
        <w:sectPr>
          <w:pgSz w:w="11900" w:h="16838" w:orient="portrait"/>
          <w:cols w:equalWidth="0" w:num="1">
            <w:col w:w="11060"/>
          </w:cols>
          <w:pgMar w:left="320" w:top="352"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760" w:type="dxa"/>
            <w:vAlign w:val="bottom"/>
            <w:gridSpan w:val="9"/>
          </w:tcPr>
          <w:p>
            <w:pPr>
              <w:ind w:left="2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666"/>
        </w:trPr>
        <w:tc>
          <w:tcPr>
            <w:tcW w:w="20" w:type="dxa"/>
            <w:vAlign w:val="bottom"/>
          </w:tcPr>
          <w:p>
            <w:pPr>
              <w:spacing w:after="0"/>
              <w:rPr>
                <w:sz w:val="24"/>
                <w:szCs w:val="24"/>
                <w:color w:val="auto"/>
              </w:rPr>
            </w:pPr>
          </w:p>
        </w:tc>
        <w:tc>
          <w:tcPr>
            <w:tcW w:w="10220" w:type="dxa"/>
            <w:vAlign w:val="bottom"/>
            <w:gridSpan w:val="26"/>
          </w:tcPr>
          <w:p>
            <w:pPr>
              <w:spacing w:after="0"/>
              <w:rPr>
                <w:sz w:val="20"/>
                <w:szCs w:val="20"/>
                <w:color w:val="auto"/>
              </w:rPr>
            </w:pPr>
            <w:r>
              <w:rPr>
                <w:rFonts w:ascii="Arial" w:cs="Arial" w:eastAsia="Arial" w:hAnsi="Arial"/>
                <w:sz w:val="18"/>
                <w:szCs w:val="18"/>
                <w:color w:val="0000FF"/>
              </w:rPr>
              <w:t>Part I</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0000FF"/>
                <w:w w:val="97"/>
              </w:rPr>
              <w:t>Item 1. Business</w:t>
            </w:r>
          </w:p>
        </w:tc>
        <w:tc>
          <w:tcPr>
            <w:tcW w:w="8700" w:type="dxa"/>
            <w:vAlign w:val="bottom"/>
            <w:gridSpan w:val="21"/>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0000FF"/>
              </w:rPr>
              <w:t>1</w:t>
            </w:r>
          </w:p>
        </w:tc>
        <w:tc>
          <w:tcPr>
            <w:tcW w:w="40" w:type="dxa"/>
            <w:vAlign w:val="bottom"/>
            <w:tcBorders>
              <w:left w:val="single" w:sz="8" w:color="CCEEFF"/>
            </w:tcBorders>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left w:val="single" w:sz="8" w:color="0000FF"/>
            </w:tcBorders>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0000FF"/>
            </w:tcBorders>
            <w:gridSpan w:val="6"/>
          </w:tcPr>
          <w:p>
            <w:pPr>
              <w:spacing w:after="0" w:line="187" w:lineRule="exact"/>
              <w:rPr>
                <w:sz w:val="20"/>
                <w:szCs w:val="20"/>
                <w:color w:val="auto"/>
              </w:rPr>
            </w:pPr>
            <w:r>
              <w:rPr>
                <w:rFonts w:ascii="Arial" w:cs="Arial" w:eastAsia="Arial" w:hAnsi="Arial"/>
                <w:sz w:val="18"/>
                <w:szCs w:val="18"/>
                <w:color w:val="0000FF"/>
                <w:w w:val="97"/>
              </w:rPr>
              <w:t>Item 1A. Risk Factors</w:t>
            </w:r>
          </w:p>
        </w:tc>
        <w:tc>
          <w:tcPr>
            <w:tcW w:w="8320" w:type="dxa"/>
            <w:vAlign w:val="bottom"/>
            <w:gridSpan w:val="19"/>
          </w:tcPr>
          <w:p>
            <w:pPr>
              <w:spacing w:after="0"/>
              <w:rPr>
                <w:sz w:val="17"/>
                <w:szCs w:val="17"/>
                <w:color w:val="auto"/>
              </w:rPr>
            </w:pPr>
          </w:p>
        </w:tc>
        <w:tc>
          <w:tcPr>
            <w:tcW w:w="76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187" w:lineRule="exact"/>
              <w:rPr>
                <w:sz w:val="20"/>
                <w:szCs w:val="20"/>
                <w:color w:val="auto"/>
              </w:rPr>
            </w:pPr>
            <w:r>
              <w:rPr>
                <w:rFonts w:ascii="Arial" w:cs="Arial" w:eastAsia="Arial" w:hAnsi="Arial"/>
                <w:sz w:val="18"/>
                <w:szCs w:val="18"/>
                <w:color w:val="0000FF"/>
                <w:w w:val="89"/>
              </w:rPr>
              <w:t>28</w:t>
            </w:r>
          </w:p>
        </w:tc>
        <w:tc>
          <w:tcPr>
            <w:tcW w:w="4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20" w:type="dxa"/>
            <w:vAlign w:val="bottom"/>
            <w:gridSpan w:val="25"/>
            <w:shd w:val="clear" w:color="auto" w:fill="CCEEFF"/>
          </w:tcPr>
          <w:p>
            <w:pPr>
              <w:spacing w:after="0" w:line="196" w:lineRule="exact"/>
              <w:rPr>
                <w:sz w:val="20"/>
                <w:szCs w:val="20"/>
                <w:color w:val="auto"/>
              </w:rPr>
            </w:pPr>
            <w:r>
              <w:rPr>
                <w:rFonts w:ascii="Arial" w:cs="Arial" w:eastAsia="Arial" w:hAnsi="Arial"/>
                <w:sz w:val="18"/>
                <w:szCs w:val="18"/>
                <w:color w:val="0000FF"/>
              </w:rPr>
              <w:t>Item 1B. Unresolved Staff Comments</w:t>
            </w:r>
          </w:p>
        </w:tc>
        <w:tc>
          <w:tcPr>
            <w:tcW w:w="9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0000FF"/>
              </w:rPr>
              <w:t>83</w:t>
            </w:r>
          </w:p>
        </w:tc>
        <w:tc>
          <w:tcPr>
            <w:tcW w:w="40" w:type="dxa"/>
            <w:vAlign w:val="bottom"/>
            <w:tcBorders>
              <w:left w:val="single" w:sz="8" w:color="CCEEFF"/>
            </w:tcBorders>
          </w:tcPr>
          <w:p>
            <w:pPr>
              <w:spacing w:after="0"/>
              <w:rPr>
                <w:sz w:val="18"/>
                <w:szCs w:val="18"/>
                <w:color w:val="auto"/>
              </w:rPr>
            </w:pPr>
          </w:p>
        </w:tc>
      </w:tr>
      <w:tr>
        <w:trPr>
          <w:trHeight w:val="196"/>
        </w:trPr>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920" w:type="dxa"/>
            <w:vAlign w:val="bottom"/>
            <w:tcBorders>
              <w:top w:val="single" w:sz="8" w:color="0000FF"/>
            </w:tcBorders>
            <w:gridSpan w:val="14"/>
          </w:tcPr>
          <w:p>
            <w:pPr>
              <w:spacing w:after="0" w:line="187" w:lineRule="exact"/>
              <w:rPr>
                <w:sz w:val="20"/>
                <w:szCs w:val="20"/>
                <w:color w:val="auto"/>
              </w:rPr>
            </w:pPr>
            <w:r>
              <w:rPr>
                <w:rFonts w:ascii="Arial" w:cs="Arial" w:eastAsia="Arial" w:hAnsi="Arial"/>
                <w:sz w:val="18"/>
                <w:szCs w:val="18"/>
                <w:color w:val="0000FF"/>
              </w:rPr>
              <w:t>Item 1C. Cybersecurity</w:t>
            </w:r>
          </w:p>
        </w:tc>
        <w:tc>
          <w:tcPr>
            <w:tcW w:w="7100" w:type="dxa"/>
            <w:vAlign w:val="bottom"/>
            <w:tcBorders>
              <w:top w:val="single" w:sz="8" w:color="CCEEFF"/>
            </w:tcBorders>
            <w:gridSpan w:val="11"/>
          </w:tcPr>
          <w:p>
            <w:pPr>
              <w:spacing w:after="0"/>
              <w:rPr>
                <w:sz w:val="17"/>
                <w:szCs w:val="17"/>
                <w:color w:val="auto"/>
              </w:rPr>
            </w:pPr>
          </w:p>
        </w:tc>
        <w:tc>
          <w:tcPr>
            <w:tcW w:w="760" w:type="dxa"/>
            <w:vAlign w:val="bottom"/>
            <w:tcBorders>
              <w:top w:val="single" w:sz="8" w:color="CCEEFF"/>
            </w:tcBorders>
            <w:gridSpan w:val="2"/>
          </w:tcPr>
          <w:p>
            <w:pPr>
              <w:spacing w:after="0"/>
              <w:rPr>
                <w:sz w:val="17"/>
                <w:szCs w:val="17"/>
                <w:color w:val="auto"/>
              </w:rPr>
            </w:pPr>
          </w:p>
        </w:tc>
        <w:tc>
          <w:tcPr>
            <w:tcW w:w="200" w:type="dxa"/>
            <w:vAlign w:val="bottom"/>
            <w:tcBorders>
              <w:top w:val="single" w:sz="8" w:color="0000FF"/>
            </w:tcBorders>
            <w:gridSpan w:val="2"/>
          </w:tcPr>
          <w:p>
            <w:pPr>
              <w:jc w:val="right"/>
              <w:spacing w:after="0" w:line="187" w:lineRule="exact"/>
              <w:rPr>
                <w:sz w:val="20"/>
                <w:szCs w:val="20"/>
                <w:color w:val="auto"/>
              </w:rPr>
            </w:pPr>
            <w:r>
              <w:rPr>
                <w:rFonts w:ascii="Arial" w:cs="Arial" w:eastAsia="Arial" w:hAnsi="Arial"/>
                <w:sz w:val="18"/>
                <w:szCs w:val="18"/>
                <w:color w:val="0000FF"/>
                <w:w w:val="89"/>
              </w:rPr>
              <w:t>83</w:t>
            </w:r>
          </w:p>
        </w:tc>
        <w:tc>
          <w:tcPr>
            <w:tcW w:w="4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tcBorders>
              <w:top w:val="single" w:sz="8" w:color="0000FF"/>
            </w:tcBorders>
            <w:gridSpan w:val="7"/>
            <w:shd w:val="clear" w:color="auto" w:fill="CCEEFF"/>
          </w:tcPr>
          <w:p>
            <w:pPr>
              <w:spacing w:after="0" w:line="196" w:lineRule="exact"/>
              <w:rPr>
                <w:sz w:val="20"/>
                <w:szCs w:val="20"/>
                <w:color w:val="auto"/>
              </w:rPr>
            </w:pPr>
            <w:r>
              <w:rPr>
                <w:rFonts w:ascii="Arial" w:cs="Arial" w:eastAsia="Arial" w:hAnsi="Arial"/>
                <w:sz w:val="18"/>
                <w:szCs w:val="18"/>
                <w:color w:val="0000FF"/>
              </w:rPr>
              <w:t>Item 2. Properties</w:t>
            </w:r>
          </w:p>
        </w:tc>
        <w:tc>
          <w:tcPr>
            <w:tcW w:w="8220" w:type="dxa"/>
            <w:vAlign w:val="bottom"/>
            <w:gridSpan w:val="18"/>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200" w:type="dxa"/>
            <w:vAlign w:val="bottom"/>
            <w:tcBorders>
              <w:top w:val="single" w:sz="8" w:color="0000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FF"/>
                <w:w w:val="89"/>
              </w:rPr>
              <w:t>84</w:t>
            </w:r>
          </w:p>
        </w:tc>
        <w:tc>
          <w:tcPr>
            <w:tcW w:w="40" w:type="dxa"/>
            <w:vAlign w:val="bottom"/>
            <w:tcBorders>
              <w:left w:val="single" w:sz="8" w:color="CCEEFF"/>
            </w:tcBorders>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left w:val="single" w:sz="8" w:color="0000FF"/>
            </w:tcBorders>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20" w:type="dxa"/>
            <w:vAlign w:val="bottom"/>
            <w:gridSpan w:val="25"/>
          </w:tcPr>
          <w:p>
            <w:pPr>
              <w:spacing w:after="0" w:line="187" w:lineRule="exact"/>
              <w:rPr>
                <w:sz w:val="20"/>
                <w:szCs w:val="20"/>
                <w:color w:val="auto"/>
              </w:rPr>
            </w:pPr>
            <w:r>
              <w:rPr>
                <w:rFonts w:ascii="Arial" w:cs="Arial" w:eastAsia="Arial" w:hAnsi="Arial"/>
                <w:sz w:val="18"/>
                <w:szCs w:val="18"/>
                <w:color w:val="0000FF"/>
              </w:rPr>
              <w:t>Item 3. Legal Proceedings</w:t>
            </w:r>
          </w:p>
        </w:tc>
        <w:tc>
          <w:tcPr>
            <w:tcW w:w="960" w:type="dxa"/>
            <w:vAlign w:val="bottom"/>
            <w:gridSpan w:val="4"/>
          </w:tcPr>
          <w:p>
            <w:pPr>
              <w:jc w:val="right"/>
              <w:spacing w:after="0" w:line="187" w:lineRule="exact"/>
              <w:rPr>
                <w:sz w:val="20"/>
                <w:szCs w:val="20"/>
                <w:color w:val="auto"/>
              </w:rPr>
            </w:pPr>
            <w:r>
              <w:rPr>
                <w:rFonts w:ascii="Arial" w:cs="Arial" w:eastAsia="Arial" w:hAnsi="Arial"/>
                <w:sz w:val="18"/>
                <w:szCs w:val="18"/>
                <w:color w:val="0000FF"/>
              </w:rPr>
              <w:t>85</w:t>
            </w:r>
          </w:p>
        </w:tc>
        <w:tc>
          <w:tcPr>
            <w:tcW w:w="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0000FF"/>
            </w:tcBorders>
            <w:gridSpan w:val="11"/>
            <w:shd w:val="clear" w:color="auto" w:fill="CCEEFF"/>
          </w:tcPr>
          <w:p>
            <w:pPr>
              <w:spacing w:after="0" w:line="196" w:lineRule="exact"/>
              <w:rPr>
                <w:sz w:val="20"/>
                <w:szCs w:val="20"/>
                <w:color w:val="auto"/>
              </w:rPr>
            </w:pPr>
            <w:r>
              <w:rPr>
                <w:rFonts w:ascii="Arial" w:cs="Arial" w:eastAsia="Arial" w:hAnsi="Arial"/>
                <w:sz w:val="18"/>
                <w:szCs w:val="18"/>
                <w:color w:val="0000FF"/>
                <w:w w:val="97"/>
              </w:rPr>
              <w:t>Item 4. Mine Safety Disclosures</w:t>
            </w:r>
          </w:p>
        </w:tc>
        <w:tc>
          <w:tcPr>
            <w:tcW w:w="7520" w:type="dxa"/>
            <w:vAlign w:val="bottom"/>
            <w:tcBorders>
              <w:bottom w:val="single" w:sz="8" w:color="CCEEFF"/>
            </w:tcBorders>
            <w:gridSpan w:val="14"/>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FF"/>
                <w:w w:val="89"/>
              </w:rPr>
              <w:t>85</w:t>
            </w:r>
          </w:p>
        </w:tc>
        <w:tc>
          <w:tcPr>
            <w:tcW w:w="40" w:type="dxa"/>
            <w:vAlign w:val="bottom"/>
            <w:tcBorders>
              <w:left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20" w:type="dxa"/>
            <w:vAlign w:val="bottom"/>
            <w:tcBorders>
              <w:bottom w:val="single" w:sz="8" w:color="0000FF"/>
            </w:tcBorders>
            <w:gridSpan w:val="3"/>
          </w:tcPr>
          <w:p>
            <w:pPr>
              <w:spacing w:after="0" w:line="187" w:lineRule="exact"/>
              <w:rPr>
                <w:sz w:val="20"/>
                <w:szCs w:val="20"/>
                <w:color w:val="auto"/>
              </w:rPr>
            </w:pPr>
            <w:r>
              <w:rPr>
                <w:rFonts w:ascii="Arial" w:cs="Arial" w:eastAsia="Arial" w:hAnsi="Arial"/>
                <w:sz w:val="18"/>
                <w:szCs w:val="18"/>
                <w:color w:val="0000FF"/>
                <w:w w:val="99"/>
              </w:rPr>
              <w:t>Part II</w:t>
            </w:r>
          </w:p>
        </w:tc>
        <w:tc>
          <w:tcPr>
            <w:tcW w:w="970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20" w:type="dxa"/>
            <w:vAlign w:val="bottom"/>
            <w:gridSpan w:val="25"/>
            <w:shd w:val="clear" w:color="auto" w:fill="CCEEFF"/>
          </w:tcPr>
          <w:p>
            <w:pPr>
              <w:spacing w:after="0" w:line="196" w:lineRule="exact"/>
              <w:rPr>
                <w:sz w:val="20"/>
                <w:szCs w:val="20"/>
                <w:color w:val="auto"/>
              </w:rPr>
            </w:pPr>
            <w:r>
              <w:rPr>
                <w:rFonts w:ascii="Arial" w:cs="Arial" w:eastAsia="Arial" w:hAnsi="Arial"/>
                <w:sz w:val="18"/>
                <w:szCs w:val="18"/>
                <w:color w:val="0000FF"/>
              </w:rPr>
              <w:t>Item 5. Market for Registrant's Common Equity, Related Stockholder Matters and Issuer Purchases of Equity Securities</w:t>
            </w:r>
          </w:p>
        </w:tc>
        <w:tc>
          <w:tcPr>
            <w:tcW w:w="9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0000FF"/>
              </w:rPr>
              <w:t>86</w:t>
            </w:r>
          </w:p>
        </w:tc>
        <w:tc>
          <w:tcPr>
            <w:tcW w:w="40" w:type="dxa"/>
            <w:vAlign w:val="bottom"/>
            <w:tcBorders>
              <w:left w:val="single" w:sz="8" w:color="CCEEFF"/>
            </w:tcBorders>
          </w:tcPr>
          <w:p>
            <w:pPr>
              <w:spacing w:after="0"/>
              <w:rPr>
                <w:sz w:val="18"/>
                <w:szCs w:val="18"/>
                <w:color w:val="auto"/>
              </w:rPr>
            </w:pPr>
          </w:p>
        </w:tc>
      </w:tr>
      <w:tr>
        <w:trPr>
          <w:trHeight w:val="196"/>
        </w:trPr>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187" w:lineRule="exact"/>
              <w:rPr>
                <w:sz w:val="20"/>
                <w:szCs w:val="20"/>
                <w:color w:val="auto"/>
              </w:rPr>
            </w:pPr>
            <w:r>
              <w:rPr>
                <w:rFonts w:ascii="Arial" w:cs="Arial" w:eastAsia="Arial" w:hAnsi="Arial"/>
                <w:sz w:val="18"/>
                <w:szCs w:val="18"/>
                <w:color w:val="0000FF"/>
                <w:w w:val="96"/>
              </w:rPr>
              <w:t>Item 6. [Reserved]</w:t>
            </w:r>
          </w:p>
        </w:tc>
        <w:tc>
          <w:tcPr>
            <w:tcW w:w="7880" w:type="dxa"/>
            <w:vAlign w:val="bottom"/>
            <w:tcBorders>
              <w:top w:val="single" w:sz="8" w:color="0000FF"/>
            </w:tcBorders>
            <w:gridSpan w:val="19"/>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gridSpan w:val="2"/>
          </w:tcPr>
          <w:p>
            <w:pPr>
              <w:spacing w:after="0"/>
              <w:rPr>
                <w:sz w:val="17"/>
                <w:szCs w:val="17"/>
                <w:color w:val="auto"/>
              </w:rPr>
            </w:pPr>
          </w:p>
        </w:tc>
        <w:tc>
          <w:tcPr>
            <w:tcW w:w="200" w:type="dxa"/>
            <w:vAlign w:val="bottom"/>
            <w:tcBorders>
              <w:top w:val="single" w:sz="8" w:color="0000FF"/>
              <w:bottom w:val="single" w:sz="8" w:color="0000FF"/>
            </w:tcBorders>
            <w:gridSpan w:val="2"/>
          </w:tcPr>
          <w:p>
            <w:pPr>
              <w:jc w:val="right"/>
              <w:spacing w:after="0" w:line="187" w:lineRule="exact"/>
              <w:rPr>
                <w:sz w:val="20"/>
                <w:szCs w:val="20"/>
                <w:color w:val="auto"/>
              </w:rPr>
            </w:pPr>
            <w:r>
              <w:rPr>
                <w:rFonts w:ascii="Arial" w:cs="Arial" w:eastAsia="Arial" w:hAnsi="Arial"/>
                <w:sz w:val="18"/>
                <w:szCs w:val="18"/>
                <w:color w:val="0000FF"/>
                <w:w w:val="89"/>
              </w:rPr>
              <w:t>87</w:t>
            </w:r>
          </w:p>
        </w:tc>
        <w:tc>
          <w:tcPr>
            <w:tcW w:w="4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20" w:type="dxa"/>
            <w:vAlign w:val="bottom"/>
            <w:gridSpan w:val="25"/>
            <w:shd w:val="clear" w:color="auto" w:fill="CCEEFF"/>
          </w:tcPr>
          <w:p>
            <w:pPr>
              <w:spacing w:after="0" w:line="196" w:lineRule="exact"/>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9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0000FF"/>
              </w:rPr>
              <w:t>88</w:t>
            </w:r>
          </w:p>
        </w:tc>
        <w:tc>
          <w:tcPr>
            <w:tcW w:w="40" w:type="dxa"/>
            <w:vAlign w:val="bottom"/>
            <w:tcBorders>
              <w:left w:val="single" w:sz="8" w:color="CCEEFF"/>
            </w:tcBorders>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left w:val="single" w:sz="8" w:color="0000FF"/>
            </w:tcBorders>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60" w:type="dxa"/>
            <w:vAlign w:val="bottom"/>
            <w:tcBorders>
              <w:bottom w:val="single" w:sz="8" w:color="0000FF"/>
            </w:tcBorders>
            <w:gridSpan w:val="18"/>
          </w:tcPr>
          <w:p>
            <w:pPr>
              <w:spacing w:after="0" w:line="187" w:lineRule="exact"/>
              <w:rPr>
                <w:sz w:val="20"/>
                <w:szCs w:val="20"/>
                <w:color w:val="auto"/>
              </w:rPr>
            </w:pPr>
            <w:r>
              <w:rPr>
                <w:rFonts w:ascii="Arial" w:cs="Arial" w:eastAsia="Arial" w:hAnsi="Arial"/>
                <w:sz w:val="18"/>
                <w:szCs w:val="18"/>
                <w:color w:val="0000FF"/>
                <w:w w:val="98"/>
              </w:rPr>
              <w:t>Item 7A. Quantitative and Qualitative Disclosures About Market Risk</w:t>
            </w:r>
          </w:p>
        </w:tc>
        <w:tc>
          <w:tcPr>
            <w:tcW w:w="2140" w:type="dxa"/>
            <w:vAlign w:val="bottom"/>
            <w:gridSpan w:val="3"/>
          </w:tcPr>
          <w:p>
            <w:pPr>
              <w:spacing w:after="0"/>
              <w:rPr>
                <w:sz w:val="17"/>
                <w:szCs w:val="17"/>
                <w:color w:val="auto"/>
              </w:rPr>
            </w:pPr>
          </w:p>
        </w:tc>
        <w:tc>
          <w:tcPr>
            <w:tcW w:w="252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line="187" w:lineRule="exact"/>
              <w:rPr>
                <w:sz w:val="20"/>
                <w:szCs w:val="20"/>
                <w:color w:val="auto"/>
              </w:rPr>
            </w:pPr>
            <w:r>
              <w:rPr>
                <w:rFonts w:ascii="Arial" w:cs="Arial" w:eastAsia="Arial" w:hAnsi="Arial"/>
                <w:sz w:val="18"/>
                <w:szCs w:val="18"/>
                <w:color w:val="0000FF"/>
                <w:w w:val="93"/>
              </w:rPr>
              <w:t>101</w:t>
            </w:r>
          </w:p>
        </w:tc>
        <w:tc>
          <w:tcPr>
            <w:tcW w:w="4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20" w:type="dxa"/>
            <w:vAlign w:val="bottom"/>
            <w:gridSpan w:val="25"/>
            <w:shd w:val="clear" w:color="auto" w:fill="CCEEFF"/>
          </w:tcPr>
          <w:p>
            <w:pPr>
              <w:spacing w:after="0" w:line="196" w:lineRule="exact"/>
              <w:rPr>
                <w:sz w:val="20"/>
                <w:szCs w:val="20"/>
                <w:color w:val="auto"/>
              </w:rPr>
            </w:pPr>
            <w:r>
              <w:rPr>
                <w:rFonts w:ascii="Arial" w:cs="Arial" w:eastAsia="Arial" w:hAnsi="Arial"/>
                <w:sz w:val="18"/>
                <w:szCs w:val="18"/>
                <w:color w:val="0000FF"/>
              </w:rPr>
              <w:t>Item 8. Financial Statements and Supplementary Data</w:t>
            </w:r>
          </w:p>
        </w:tc>
        <w:tc>
          <w:tcPr>
            <w:tcW w:w="9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0000FF"/>
              </w:rPr>
              <w:t>102</w:t>
            </w:r>
          </w:p>
        </w:tc>
        <w:tc>
          <w:tcPr>
            <w:tcW w:w="40" w:type="dxa"/>
            <w:vAlign w:val="bottom"/>
            <w:tcBorders>
              <w:left w:val="single" w:sz="8" w:color="CCEEFF"/>
            </w:tcBorders>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left w:val="single" w:sz="8" w:color="0000FF"/>
            </w:tcBorders>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25"/>
          </w:tcPr>
          <w:p>
            <w:pPr>
              <w:spacing w:after="0" w:line="187" w:lineRule="exact"/>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960" w:type="dxa"/>
            <w:vAlign w:val="bottom"/>
            <w:gridSpan w:val="4"/>
          </w:tcPr>
          <w:p>
            <w:pPr>
              <w:jc w:val="right"/>
              <w:spacing w:after="0" w:line="187" w:lineRule="exact"/>
              <w:rPr>
                <w:sz w:val="20"/>
                <w:szCs w:val="20"/>
                <w:color w:val="auto"/>
              </w:rPr>
            </w:pPr>
            <w:r>
              <w:rPr>
                <w:rFonts w:ascii="Arial" w:cs="Arial" w:eastAsia="Arial" w:hAnsi="Arial"/>
                <w:sz w:val="18"/>
                <w:szCs w:val="18"/>
                <w:color w:val="0000FF"/>
              </w:rPr>
              <w:t>136</w:t>
            </w:r>
          </w:p>
        </w:tc>
        <w:tc>
          <w:tcPr>
            <w:tcW w:w="40" w:type="dxa"/>
            <w:vAlign w:val="bottom"/>
          </w:tcPr>
          <w:p>
            <w:pPr>
              <w:spacing w:after="0"/>
              <w:rPr>
                <w:sz w:val="17"/>
                <w:szCs w:val="17"/>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top w:val="single" w:sz="8" w:color="0000FF"/>
              <w:bottom w:val="single" w:sz="8" w:color="0000FF"/>
            </w:tcBorders>
            <w:gridSpan w:val="13"/>
            <w:shd w:val="clear" w:color="auto" w:fill="CCEEFF"/>
          </w:tcPr>
          <w:p>
            <w:pPr>
              <w:spacing w:after="0" w:line="196" w:lineRule="exact"/>
              <w:rPr>
                <w:sz w:val="20"/>
                <w:szCs w:val="20"/>
                <w:color w:val="auto"/>
              </w:rPr>
            </w:pPr>
            <w:r>
              <w:rPr>
                <w:rFonts w:ascii="Arial" w:cs="Arial" w:eastAsia="Arial" w:hAnsi="Arial"/>
                <w:sz w:val="18"/>
                <w:szCs w:val="18"/>
                <w:color w:val="0000FF"/>
                <w:w w:val="98"/>
              </w:rPr>
              <w:t>Item 9A. Controls and Procedures</w:t>
            </w:r>
          </w:p>
        </w:tc>
        <w:tc>
          <w:tcPr>
            <w:tcW w:w="4940" w:type="dxa"/>
            <w:vAlign w:val="bottom"/>
            <w:tcBorders>
              <w:top w:val="single" w:sz="8" w:color="0000FF"/>
              <w:bottom w:val="single" w:sz="8" w:color="CCEEFF"/>
            </w:tcBorders>
            <w:gridSpan w:val="9"/>
            <w:shd w:val="clear" w:color="auto" w:fill="CCEEFF"/>
          </w:tcPr>
          <w:p>
            <w:pPr>
              <w:spacing w:after="0"/>
              <w:rPr>
                <w:sz w:val="18"/>
                <w:szCs w:val="18"/>
                <w:color w:val="auto"/>
              </w:rPr>
            </w:pPr>
          </w:p>
        </w:tc>
        <w:tc>
          <w:tcPr>
            <w:tcW w:w="2400" w:type="dxa"/>
            <w:vAlign w:val="bottom"/>
            <w:tcBorders>
              <w:bottom w:val="single" w:sz="8" w:color="CCEEFF"/>
            </w:tcBorders>
            <w:gridSpan w:val="3"/>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0000FF"/>
              <w:bottom w:val="single" w:sz="8" w:color="0000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FF"/>
                <w:w w:val="93"/>
              </w:rPr>
              <w:t>136</w:t>
            </w:r>
          </w:p>
        </w:tc>
        <w:tc>
          <w:tcPr>
            <w:tcW w:w="40" w:type="dxa"/>
            <w:vAlign w:val="bottom"/>
            <w:tcBorders>
              <w:left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Borders>
              <w:bottom w:val="single" w:sz="8" w:color="0000FF"/>
            </w:tcBorders>
            <w:gridSpan w:val="9"/>
          </w:tcPr>
          <w:p>
            <w:pPr>
              <w:spacing w:after="0" w:line="187" w:lineRule="exact"/>
              <w:rPr>
                <w:sz w:val="20"/>
                <w:szCs w:val="20"/>
                <w:color w:val="auto"/>
              </w:rPr>
            </w:pPr>
            <w:r>
              <w:rPr>
                <w:rFonts w:ascii="Arial" w:cs="Arial" w:eastAsia="Arial" w:hAnsi="Arial"/>
                <w:sz w:val="18"/>
                <w:szCs w:val="18"/>
                <w:color w:val="0000FF"/>
                <w:w w:val="98"/>
              </w:rPr>
              <w:t>Item 9B. Other Information</w:t>
            </w:r>
          </w:p>
        </w:tc>
        <w:tc>
          <w:tcPr>
            <w:tcW w:w="792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line="187" w:lineRule="exact"/>
              <w:rPr>
                <w:sz w:val="20"/>
                <w:szCs w:val="20"/>
                <w:color w:val="auto"/>
              </w:rPr>
            </w:pPr>
            <w:r>
              <w:rPr>
                <w:rFonts w:ascii="Arial" w:cs="Arial" w:eastAsia="Arial" w:hAnsi="Arial"/>
                <w:sz w:val="18"/>
                <w:szCs w:val="18"/>
                <w:color w:val="0000FF"/>
                <w:w w:val="93"/>
              </w:rPr>
              <w:t>137</w:t>
            </w:r>
          </w:p>
        </w:tc>
        <w:tc>
          <w:tcPr>
            <w:tcW w:w="4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20" w:type="dxa"/>
            <w:vAlign w:val="bottom"/>
            <w:gridSpan w:val="25"/>
            <w:shd w:val="clear" w:color="auto" w:fill="CCEEFF"/>
          </w:tcPr>
          <w:p>
            <w:pPr>
              <w:spacing w:after="0" w:line="196" w:lineRule="exact"/>
              <w:rPr>
                <w:sz w:val="20"/>
                <w:szCs w:val="20"/>
                <w:color w:val="auto"/>
              </w:rPr>
            </w:pPr>
            <w:r>
              <w:rPr>
                <w:rFonts w:ascii="Arial" w:cs="Arial" w:eastAsia="Arial" w:hAnsi="Arial"/>
                <w:sz w:val="18"/>
                <w:szCs w:val="18"/>
                <w:color w:val="0000FF"/>
              </w:rPr>
              <w:t>Item 9C. Disclosure Regarding Foreign Jurisdictions that Prevent Inspections</w:t>
            </w:r>
          </w:p>
        </w:tc>
        <w:tc>
          <w:tcPr>
            <w:tcW w:w="9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0000FF"/>
              </w:rPr>
              <w:t>138</w:t>
            </w:r>
          </w:p>
        </w:tc>
        <w:tc>
          <w:tcPr>
            <w:tcW w:w="40" w:type="dxa"/>
            <w:vAlign w:val="bottom"/>
            <w:tcBorders>
              <w:left w:val="single" w:sz="8" w:color="CCEEFF"/>
            </w:tcBorders>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left w:val="single" w:sz="8" w:color="0000FF"/>
            </w:tcBorders>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4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220" w:type="dxa"/>
            <w:vAlign w:val="bottom"/>
            <w:gridSpan w:val="26"/>
          </w:tcPr>
          <w:p>
            <w:pPr>
              <w:spacing w:after="0" w:line="187" w:lineRule="exact"/>
              <w:rPr>
                <w:sz w:val="20"/>
                <w:szCs w:val="20"/>
                <w:color w:val="auto"/>
              </w:rPr>
            </w:pPr>
            <w:r>
              <w:rPr>
                <w:rFonts w:ascii="Arial" w:cs="Arial" w:eastAsia="Arial" w:hAnsi="Arial"/>
                <w:sz w:val="18"/>
                <w:szCs w:val="18"/>
                <w:color w:val="0000FF"/>
              </w:rPr>
              <w:t>Part III</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20" w:type="dxa"/>
            <w:vAlign w:val="bottom"/>
            <w:gridSpan w:val="25"/>
            <w:shd w:val="clear" w:color="auto" w:fill="CCEEFF"/>
          </w:tcPr>
          <w:p>
            <w:pPr>
              <w:spacing w:after="0" w:line="196" w:lineRule="exact"/>
              <w:rPr>
                <w:sz w:val="20"/>
                <w:szCs w:val="20"/>
                <w:color w:val="auto"/>
              </w:rPr>
            </w:pPr>
            <w:r>
              <w:rPr>
                <w:rFonts w:ascii="Arial" w:cs="Arial" w:eastAsia="Arial" w:hAnsi="Arial"/>
                <w:sz w:val="18"/>
                <w:szCs w:val="18"/>
                <w:color w:val="0000FF"/>
              </w:rPr>
              <w:t>Item 10. Directors, Executive Officers and Corporate Governance</w:t>
            </w:r>
          </w:p>
        </w:tc>
        <w:tc>
          <w:tcPr>
            <w:tcW w:w="9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0000FF"/>
              </w:rPr>
              <w:t>139</w:t>
            </w:r>
          </w:p>
        </w:tc>
        <w:tc>
          <w:tcPr>
            <w:tcW w:w="40" w:type="dxa"/>
            <w:vAlign w:val="bottom"/>
            <w:tcBorders>
              <w:left w:val="single" w:sz="8" w:color="CCEEFF"/>
            </w:tcBorders>
          </w:tcPr>
          <w:p>
            <w:pPr>
              <w:spacing w:after="0"/>
              <w:rPr>
                <w:sz w:val="18"/>
                <w:szCs w:val="18"/>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120" w:type="dxa"/>
            <w:vAlign w:val="bottom"/>
            <w:tcBorders>
              <w:top w:val="single" w:sz="8" w:color="0000FF"/>
            </w:tcBorders>
            <w:gridSpan w:val="17"/>
          </w:tcPr>
          <w:p>
            <w:pPr>
              <w:spacing w:after="0" w:line="187" w:lineRule="exact"/>
              <w:rPr>
                <w:sz w:val="20"/>
                <w:szCs w:val="20"/>
                <w:color w:val="auto"/>
              </w:rPr>
            </w:pPr>
            <w:r>
              <w:rPr>
                <w:rFonts w:ascii="Arial" w:cs="Arial" w:eastAsia="Arial" w:hAnsi="Arial"/>
                <w:sz w:val="18"/>
                <w:szCs w:val="18"/>
                <w:color w:val="0000FF"/>
              </w:rPr>
              <w:t>Item 11. Executive Compensation</w:t>
            </w:r>
          </w:p>
        </w:tc>
        <w:tc>
          <w:tcPr>
            <w:tcW w:w="4900" w:type="dxa"/>
            <w:vAlign w:val="bottom"/>
            <w:tcBorders>
              <w:top w:val="single" w:sz="8" w:color="CCEEFF"/>
            </w:tcBorders>
            <w:gridSpan w:val="8"/>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300" w:type="dxa"/>
            <w:vAlign w:val="bottom"/>
            <w:tcBorders>
              <w:top w:val="single" w:sz="8" w:color="0000FF"/>
            </w:tcBorders>
            <w:gridSpan w:val="3"/>
          </w:tcPr>
          <w:p>
            <w:pPr>
              <w:jc w:val="right"/>
              <w:spacing w:after="0" w:line="187" w:lineRule="exact"/>
              <w:rPr>
                <w:sz w:val="20"/>
                <w:szCs w:val="20"/>
                <w:color w:val="auto"/>
              </w:rPr>
            </w:pPr>
            <w:r>
              <w:rPr>
                <w:rFonts w:ascii="Arial" w:cs="Arial" w:eastAsia="Arial" w:hAnsi="Arial"/>
                <w:sz w:val="18"/>
                <w:szCs w:val="18"/>
                <w:color w:val="0000FF"/>
                <w:w w:val="93"/>
              </w:rPr>
              <w:t>142</w:t>
            </w:r>
          </w:p>
        </w:tc>
        <w:tc>
          <w:tcPr>
            <w:tcW w:w="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0" w:type="dxa"/>
            <w:vAlign w:val="bottom"/>
            <w:tcBorders>
              <w:bottom w:val="single" w:sz="8" w:color="0000FF"/>
            </w:tcBorders>
            <w:gridSpan w:val="23"/>
            <w:shd w:val="clear" w:color="auto" w:fill="CCEEFF"/>
          </w:tcPr>
          <w:p>
            <w:pPr>
              <w:spacing w:after="0" w:line="196" w:lineRule="exact"/>
              <w:rPr>
                <w:sz w:val="20"/>
                <w:szCs w:val="20"/>
                <w:color w:val="auto"/>
              </w:rPr>
            </w:pPr>
            <w:r>
              <w:rPr>
                <w:rFonts w:ascii="Arial" w:cs="Arial" w:eastAsia="Arial" w:hAnsi="Arial"/>
                <w:sz w:val="18"/>
                <w:szCs w:val="18"/>
                <w:color w:val="0000FF"/>
                <w:w w:val="98"/>
              </w:rPr>
              <w:t>Item 12. Security Ownership of Certain Beneficial Owners and Management and Related Stockholder Matters</w:t>
            </w:r>
          </w:p>
        </w:tc>
        <w:tc>
          <w:tcPr>
            <w:tcW w:w="1420" w:type="dxa"/>
            <w:vAlign w:val="bottom"/>
            <w:tcBorders>
              <w:bottom w:val="single" w:sz="8" w:color="CCEEFF"/>
            </w:tcBorders>
            <w:gridSpan w:val="2"/>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0000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FF"/>
                <w:w w:val="93"/>
              </w:rPr>
              <w:t>142</w:t>
            </w:r>
          </w:p>
        </w:tc>
        <w:tc>
          <w:tcPr>
            <w:tcW w:w="40" w:type="dxa"/>
            <w:vAlign w:val="bottom"/>
            <w:tcBorders>
              <w:left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25"/>
          </w:tcPr>
          <w:p>
            <w:pPr>
              <w:spacing w:after="0" w:line="187" w:lineRule="exact"/>
              <w:rPr>
                <w:sz w:val="20"/>
                <w:szCs w:val="20"/>
                <w:color w:val="auto"/>
              </w:rPr>
            </w:pPr>
            <w:r>
              <w:rPr>
                <w:rFonts w:ascii="Arial" w:cs="Arial" w:eastAsia="Arial" w:hAnsi="Arial"/>
                <w:sz w:val="18"/>
                <w:szCs w:val="18"/>
                <w:color w:val="0000FF"/>
              </w:rPr>
              <w:t>Item 13. Certain Relationships and Related Transactions, and Director Independence</w:t>
            </w:r>
          </w:p>
        </w:tc>
        <w:tc>
          <w:tcPr>
            <w:tcW w:w="960" w:type="dxa"/>
            <w:vAlign w:val="bottom"/>
            <w:gridSpan w:val="4"/>
          </w:tcPr>
          <w:p>
            <w:pPr>
              <w:jc w:val="right"/>
              <w:spacing w:after="0" w:line="187" w:lineRule="exact"/>
              <w:rPr>
                <w:sz w:val="20"/>
                <w:szCs w:val="20"/>
                <w:color w:val="auto"/>
              </w:rPr>
            </w:pPr>
            <w:r>
              <w:rPr>
                <w:rFonts w:ascii="Arial" w:cs="Arial" w:eastAsia="Arial" w:hAnsi="Arial"/>
                <w:sz w:val="18"/>
                <w:szCs w:val="18"/>
                <w:color w:val="0000FF"/>
              </w:rPr>
              <w:t>143</w:t>
            </w:r>
          </w:p>
        </w:tc>
        <w:tc>
          <w:tcPr>
            <w:tcW w:w="4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80" w:type="dxa"/>
            <w:vAlign w:val="bottom"/>
            <w:tcBorders>
              <w:top w:val="single" w:sz="8" w:color="0000FF"/>
            </w:tcBorders>
            <w:gridSpan w:val="20"/>
            <w:shd w:val="clear" w:color="auto" w:fill="CCEEFF"/>
          </w:tcPr>
          <w:p>
            <w:pPr>
              <w:spacing w:after="0" w:line="196" w:lineRule="exact"/>
              <w:rPr>
                <w:sz w:val="20"/>
                <w:szCs w:val="20"/>
                <w:color w:val="auto"/>
              </w:rPr>
            </w:pPr>
            <w:r>
              <w:rPr>
                <w:rFonts w:ascii="Arial" w:cs="Arial" w:eastAsia="Arial" w:hAnsi="Arial"/>
                <w:sz w:val="18"/>
                <w:szCs w:val="18"/>
                <w:color w:val="0000FF"/>
              </w:rPr>
              <w:t>Item 14. Principal Accounting Fees and Services</w:t>
            </w:r>
          </w:p>
        </w:tc>
        <w:tc>
          <w:tcPr>
            <w:tcW w:w="3340" w:type="dxa"/>
            <w:vAlign w:val="bottom"/>
            <w:gridSpan w:val="5"/>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tcBorders>
              <w:top w:val="single" w:sz="8" w:color="0000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FF"/>
                <w:w w:val="93"/>
              </w:rPr>
              <w:t>143</w:t>
            </w:r>
          </w:p>
        </w:tc>
        <w:tc>
          <w:tcPr>
            <w:tcW w:w="40" w:type="dxa"/>
            <w:vAlign w:val="bottom"/>
            <w:tcBorders>
              <w:left w:val="single" w:sz="8" w:color="CCEEFF"/>
            </w:tcBorders>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left w:val="single" w:sz="8" w:color="0000FF"/>
            </w:tcBorders>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40" w:type="dxa"/>
            <w:vAlign w:val="bottom"/>
            <w:tcBorders>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220" w:type="dxa"/>
            <w:vAlign w:val="bottom"/>
            <w:gridSpan w:val="26"/>
          </w:tcPr>
          <w:p>
            <w:pPr>
              <w:spacing w:after="0" w:line="187" w:lineRule="exact"/>
              <w:rPr>
                <w:sz w:val="20"/>
                <w:szCs w:val="20"/>
                <w:color w:val="auto"/>
              </w:rPr>
            </w:pPr>
            <w:r>
              <w:rPr>
                <w:rFonts w:ascii="Arial" w:cs="Arial" w:eastAsia="Arial" w:hAnsi="Arial"/>
                <w:sz w:val="18"/>
                <w:szCs w:val="18"/>
                <w:color w:val="0000FF"/>
              </w:rPr>
              <w:t>Part IV</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60" w:type="dxa"/>
            <w:vAlign w:val="bottom"/>
            <w:tcBorders>
              <w:bottom w:val="single" w:sz="8" w:color="0000FF"/>
              <w:right w:val="single" w:sz="8" w:color="CCEEFF"/>
            </w:tcBorders>
            <w:gridSpan w:val="15"/>
            <w:shd w:val="clear" w:color="auto" w:fill="CCEEFF"/>
          </w:tcPr>
          <w:p>
            <w:pPr>
              <w:spacing w:after="0" w:line="196" w:lineRule="exact"/>
              <w:rPr>
                <w:sz w:val="20"/>
                <w:szCs w:val="20"/>
                <w:color w:val="auto"/>
              </w:rPr>
            </w:pPr>
            <w:r>
              <w:rPr>
                <w:rFonts w:ascii="Arial" w:cs="Arial" w:eastAsia="Arial" w:hAnsi="Arial"/>
                <w:sz w:val="18"/>
                <w:szCs w:val="18"/>
                <w:color w:val="0000FF"/>
                <w:w w:val="97"/>
              </w:rPr>
              <w:t>Item 15. Exhibits, Financial Statement Schedules</w:t>
            </w:r>
          </w:p>
        </w:tc>
        <w:tc>
          <w:tcPr>
            <w:tcW w:w="6160" w:type="dxa"/>
            <w:vAlign w:val="bottom"/>
            <w:tcBorders>
              <w:bottom w:val="single" w:sz="8" w:color="CCEEFF"/>
            </w:tcBorders>
            <w:gridSpan w:val="10"/>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0000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FF"/>
                <w:w w:val="93"/>
              </w:rPr>
              <w:t>144</w:t>
            </w:r>
          </w:p>
        </w:tc>
        <w:tc>
          <w:tcPr>
            <w:tcW w:w="40" w:type="dxa"/>
            <w:vAlign w:val="bottom"/>
            <w:tcBorders>
              <w:left w:val="single" w:sz="8" w:color="CCEEFF"/>
            </w:tcBorders>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20" w:type="dxa"/>
            <w:vAlign w:val="bottom"/>
            <w:gridSpan w:val="25"/>
          </w:tcPr>
          <w:p>
            <w:pPr>
              <w:spacing w:after="0" w:line="187" w:lineRule="exact"/>
              <w:rPr>
                <w:sz w:val="20"/>
                <w:szCs w:val="20"/>
                <w:color w:val="auto"/>
              </w:rPr>
            </w:pPr>
            <w:r>
              <w:rPr>
                <w:rFonts w:ascii="Arial" w:cs="Arial" w:eastAsia="Arial" w:hAnsi="Arial"/>
                <w:sz w:val="18"/>
                <w:szCs w:val="18"/>
                <w:color w:val="0000FF"/>
              </w:rPr>
              <w:t>Item 16. Form 10-K Summary</w:t>
            </w:r>
          </w:p>
        </w:tc>
        <w:tc>
          <w:tcPr>
            <w:tcW w:w="960" w:type="dxa"/>
            <w:vAlign w:val="bottom"/>
            <w:gridSpan w:val="4"/>
          </w:tcPr>
          <w:p>
            <w:pPr>
              <w:jc w:val="right"/>
              <w:spacing w:after="0" w:line="187" w:lineRule="exact"/>
              <w:rPr>
                <w:sz w:val="20"/>
                <w:szCs w:val="20"/>
                <w:color w:val="auto"/>
              </w:rPr>
            </w:pPr>
            <w:r>
              <w:rPr>
                <w:rFonts w:ascii="Arial" w:cs="Arial" w:eastAsia="Arial" w:hAnsi="Arial"/>
                <w:sz w:val="18"/>
                <w:szCs w:val="18"/>
                <w:color w:val="0000FF"/>
              </w:rPr>
              <w:t>147</w:t>
            </w:r>
          </w:p>
        </w:tc>
        <w:tc>
          <w:tcPr>
            <w:tcW w:w="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10220" w:type="dxa"/>
            <w:vAlign w:val="bottom"/>
            <w:gridSpan w:val="26"/>
            <w:shd w:val="clear" w:color="auto" w:fill="CCEEFF"/>
          </w:tcPr>
          <w:p>
            <w:pPr>
              <w:spacing w:after="0" w:line="196" w:lineRule="exact"/>
              <w:rPr>
                <w:sz w:val="20"/>
                <w:szCs w:val="20"/>
                <w:color w:val="auto"/>
              </w:rPr>
            </w:pPr>
            <w:r>
              <w:rPr>
                <w:rFonts w:ascii="Arial" w:cs="Arial" w:eastAsia="Arial" w:hAnsi="Arial"/>
                <w:sz w:val="18"/>
                <w:szCs w:val="18"/>
                <w:color w:val="0000FF"/>
              </w:rPr>
              <w:t>Signatures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1444"/>
        </w:trPr>
        <w:tc>
          <w:tcPr>
            <w:tcW w:w="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94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98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248" w:lineRule="exact"/>
        <w:rPr>
          <w:sz w:val="20"/>
          <w:szCs w:val="20"/>
          <w:color w:val="auto"/>
        </w:rPr>
      </w:pPr>
    </w:p>
    <w:p>
      <w:pPr>
        <w:ind w:left="640" w:right="700" w:hanging="314"/>
        <w:spacing w:after="0" w:line="27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we have incurred significant losses since our inception. We may incur significant losses for the foreseeable future.</w:t>
      </w:r>
    </w:p>
    <w:p>
      <w:pPr>
        <w:spacing w:after="0" w:line="162" w:lineRule="exact"/>
        <w:rPr>
          <w:rFonts w:ascii="Arial" w:cs="Arial" w:eastAsia="Arial" w:hAnsi="Arial"/>
          <w:sz w:val="18"/>
          <w:szCs w:val="18"/>
          <w:color w:val="auto"/>
        </w:rPr>
      </w:pPr>
    </w:p>
    <w:p>
      <w:pPr>
        <w:ind w:left="640" w:right="220" w:hanging="314"/>
        <w:spacing w:after="0" w:line="27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and if we are unable to raise capital when needed, we could be forced to delay, reduce or eliminate our product discovery and development programs or commercialization efforts.</w:t>
      </w:r>
    </w:p>
    <w:p>
      <w:pPr>
        <w:spacing w:after="0" w:line="189" w:lineRule="exact"/>
        <w:rPr>
          <w:rFonts w:ascii="Arial" w:cs="Arial" w:eastAsia="Arial" w:hAnsi="Arial"/>
          <w:sz w:val="18"/>
          <w:szCs w:val="18"/>
          <w:color w:val="auto"/>
        </w:rPr>
      </w:pPr>
    </w:p>
    <w:p>
      <w:pPr>
        <w:ind w:left="640" w:right="160" w:hanging="314"/>
        <w:spacing w:after="0" w:line="25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and commercialization of drug products is subject to extensive regulation, and the regulatory approval processes of the U.S. Food and Drug Administration, or the FDA, and comparable foreign regulatory authorities are lengthy, time-consuming, and inherently unpredictable. If we are ultimately unable to obtain regulatory approval for our product candidates on a timely basis if at all, our business will be substantially harmed.</w:t>
      </w:r>
    </w:p>
    <w:p>
      <w:pPr>
        <w:spacing w:after="0" w:line="208" w:lineRule="exact"/>
        <w:rPr>
          <w:rFonts w:ascii="Arial" w:cs="Arial" w:eastAsia="Arial" w:hAnsi="Arial"/>
          <w:sz w:val="18"/>
          <w:szCs w:val="18"/>
          <w:color w:val="auto"/>
        </w:rPr>
      </w:pPr>
    </w:p>
    <w:p>
      <w:pPr>
        <w:ind w:left="640" w:right="20" w:hanging="314"/>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203" w:lineRule="exact"/>
        <w:rPr>
          <w:rFonts w:ascii="Arial" w:cs="Arial" w:eastAsia="Arial" w:hAnsi="Arial"/>
          <w:sz w:val="18"/>
          <w:szCs w:val="18"/>
          <w:color w:val="auto"/>
        </w:rPr>
      </w:pPr>
    </w:p>
    <w:p>
      <w:pPr>
        <w:ind w:left="640" w:right="520" w:hanging="314"/>
        <w:spacing w:after="0" w:line="307"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165" w:lineRule="exact"/>
        <w:rPr>
          <w:rFonts w:ascii="Arial" w:cs="Arial" w:eastAsia="Arial" w:hAnsi="Arial"/>
          <w:sz w:val="17"/>
          <w:szCs w:val="17"/>
          <w:color w:val="auto"/>
        </w:rPr>
      </w:pPr>
    </w:p>
    <w:p>
      <w:pPr>
        <w:ind w:left="640" w:right="40" w:hanging="314"/>
        <w:spacing w:after="0" w:line="27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future clinical trials, our clinical development activities could be delayed or otherwise adversely affected.</w:t>
      </w:r>
    </w:p>
    <w:p>
      <w:pPr>
        <w:spacing w:after="0" w:line="189"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markets for our product candidates may be smaller than we expect.</w:t>
      </w:r>
    </w:p>
    <w:p>
      <w:pPr>
        <w:spacing w:after="0" w:line="245" w:lineRule="exact"/>
        <w:rPr>
          <w:rFonts w:ascii="Arial" w:cs="Arial" w:eastAsia="Arial" w:hAnsi="Arial"/>
          <w:sz w:val="18"/>
          <w:szCs w:val="18"/>
          <w:color w:val="auto"/>
        </w:rPr>
      </w:pPr>
    </w:p>
    <w:p>
      <w:pPr>
        <w:ind w:left="640" w:hanging="314"/>
        <w:spacing w:after="0" w:line="25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208" w:lineRule="exact"/>
        <w:rPr>
          <w:rFonts w:ascii="Arial" w:cs="Arial" w:eastAsia="Arial" w:hAnsi="Arial"/>
          <w:sz w:val="18"/>
          <w:szCs w:val="18"/>
          <w:color w:val="auto"/>
        </w:rPr>
      </w:pPr>
    </w:p>
    <w:p>
      <w:pPr>
        <w:ind w:left="640" w:right="320" w:hanging="314"/>
        <w:spacing w:after="0" w:line="27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189" w:lineRule="exact"/>
        <w:rPr>
          <w:rFonts w:ascii="Arial" w:cs="Arial" w:eastAsia="Arial" w:hAnsi="Arial"/>
          <w:sz w:val="18"/>
          <w:szCs w:val="18"/>
          <w:color w:val="auto"/>
        </w:rPr>
      </w:pPr>
    </w:p>
    <w:p>
      <w:pPr>
        <w:jc w:val="both"/>
        <w:ind w:left="640" w:right="80" w:hanging="314"/>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entered into, and may enter into, license or other collaboration agreements that impose certain obligations on us. If we fail to comply with our obligations under such agreements with third parties or otherwise experience disruptions to our business relationships with our current or future licensors, we could lose rights that may be important to our business.</w:t>
      </w:r>
    </w:p>
    <w:p>
      <w:pPr>
        <w:spacing w:after="0" w:line="203"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product discovery and development efforts.</w:t>
      </w:r>
    </w:p>
    <w:p>
      <w:pPr>
        <w:spacing w:after="0" w:line="245" w:lineRule="exact"/>
        <w:rPr>
          <w:rFonts w:ascii="Arial" w:cs="Arial" w:eastAsia="Arial" w:hAnsi="Arial"/>
          <w:sz w:val="18"/>
          <w:szCs w:val="18"/>
          <w:color w:val="auto"/>
        </w:rPr>
      </w:pPr>
    </w:p>
    <w:p>
      <w:pPr>
        <w:ind w:left="640" w:right="140" w:hanging="314"/>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203"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economic, political, regulatory and other risks.</w:t>
      </w:r>
    </w:p>
    <w:p>
      <w:pPr>
        <w:spacing w:after="0" w:line="245" w:lineRule="exact"/>
        <w:rPr>
          <w:rFonts w:ascii="Arial" w:cs="Arial" w:eastAsia="Arial" w:hAnsi="Arial"/>
          <w:sz w:val="18"/>
          <w:szCs w:val="18"/>
          <w:color w:val="auto"/>
        </w:rPr>
      </w:pPr>
    </w:p>
    <w:p>
      <w:pPr>
        <w:ind w:left="640" w:right="140" w:hanging="314"/>
        <w:spacing w:after="0" w:line="27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heavily on our executive officers, principal consultants and others, and the loss of their services could materially harm our business.</w:t>
      </w:r>
    </w:p>
    <w:p>
      <w:pPr>
        <w:spacing w:after="0" w:line="189" w:lineRule="exact"/>
        <w:rPr>
          <w:rFonts w:ascii="Arial" w:cs="Arial" w:eastAsia="Arial" w:hAnsi="Arial"/>
          <w:sz w:val="18"/>
          <w:szCs w:val="18"/>
          <w:color w:val="auto"/>
        </w:rPr>
      </w:pPr>
    </w:p>
    <w:p>
      <w:pPr>
        <w:ind w:left="640" w:right="180" w:hanging="314"/>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676275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31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price of our stock has been and may in the future be volatile, and you could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710565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8"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This Annual Report on Form 10-K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statements about:</w:t>
      </w:r>
    </w:p>
    <w:p>
      <w:pPr>
        <w:spacing w:after="0" w:line="134" w:lineRule="exact"/>
        <w:rPr>
          <w:sz w:val="20"/>
          <w:szCs w:val="20"/>
          <w:color w:val="auto"/>
        </w:rPr>
      </w:pPr>
    </w:p>
    <w:p>
      <w:pPr>
        <w:ind w:left="640" w:right="700" w:hanging="314"/>
        <w:spacing w:after="0" w:line="27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surrounding potential regulatory submissions, progress or approvals and timing thereof for any of our product candidates;</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65" w:lineRule="exact"/>
        <w:rPr>
          <w:rFonts w:ascii="Arial" w:cs="Arial" w:eastAsia="Arial" w:hAnsi="Arial"/>
          <w:sz w:val="18"/>
          <w:szCs w:val="18"/>
          <w:color w:val="auto"/>
        </w:rPr>
      </w:pPr>
    </w:p>
    <w:p>
      <w:pPr>
        <w:ind w:left="640" w:right="120" w:hanging="314"/>
        <w:spacing w:after="0" w:line="27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109" w:lineRule="exact"/>
        <w:rPr>
          <w:rFonts w:ascii="Arial" w:cs="Arial" w:eastAsia="Arial" w:hAnsi="Arial"/>
          <w:sz w:val="18"/>
          <w:szCs w:val="18"/>
          <w:color w:val="auto"/>
        </w:rPr>
      </w:pPr>
    </w:p>
    <w:p>
      <w:pPr>
        <w:ind w:left="640" w:right="20" w:hanging="314"/>
        <w:spacing w:after="0" w:line="27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65" w:lineRule="exact"/>
        <w:rPr>
          <w:rFonts w:ascii="Arial" w:cs="Arial" w:eastAsia="Arial" w:hAnsi="Arial"/>
          <w:sz w:val="18"/>
          <w:szCs w:val="18"/>
          <w:color w:val="auto"/>
        </w:rPr>
      </w:pPr>
    </w:p>
    <w:p>
      <w:pPr>
        <w:ind w:left="640" w:right="700" w:hanging="314"/>
        <w:spacing w:after="0" w:line="27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fund our operations and obtain additional funding, if necessary, to complete further development and, if approved, commercialization of our product candidates;</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65" w:lineRule="exact"/>
        <w:rPr>
          <w:rFonts w:ascii="Arial" w:cs="Arial" w:eastAsia="Arial" w:hAnsi="Arial"/>
          <w:sz w:val="18"/>
          <w:szCs w:val="18"/>
          <w:color w:val="auto"/>
        </w:rPr>
      </w:pPr>
    </w:p>
    <w:p>
      <w:pPr>
        <w:ind w:left="640" w:right="380" w:hanging="314"/>
        <w:spacing w:after="0" w:line="27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19"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on Form 10-K. If one or more of these risks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530860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 reference in this Annual Report on Form 10-K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83"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83" w:lineRule="exact"/>
        <w:rPr>
          <w:sz w:val="20"/>
          <w:szCs w:val="20"/>
          <w:color w:val="auto"/>
        </w:rPr>
      </w:pPr>
    </w:p>
    <w:p>
      <w:pPr>
        <w:ind w:right="80" w:firstLine="439"/>
        <w:spacing w:after="0" w:line="267"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521970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4" w:lineRule="exact"/>
        <w:rPr>
          <w:sz w:val="20"/>
          <w:szCs w:val="20"/>
          <w:color w:val="auto"/>
        </w:rPr>
      </w:pPr>
    </w:p>
    <w:p>
      <w:pPr>
        <w:ind w:firstLine="439"/>
        <w:spacing w:after="0" w:line="270" w:lineRule="auto"/>
        <w:rPr>
          <w:sz w:val="20"/>
          <w:szCs w:val="20"/>
          <w:color w:val="auto"/>
        </w:rPr>
      </w:pPr>
      <w:r>
        <w:rPr>
          <w:rFonts w:ascii="Arial" w:cs="Arial" w:eastAsia="Arial" w:hAnsi="Arial"/>
          <w:sz w:val="17"/>
          <w:szCs w:val="17"/>
          <w:color w:val="auto"/>
        </w:rPr>
        <w:t>We are a fully integrated, leading central nervous system, or CNS, precision neuroscience biopharmaceutical company translating insights from genetic epilepsies into the development of therapies for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18" w:lineRule="exact"/>
        <w:rPr>
          <w:sz w:val="20"/>
          <w:szCs w:val="20"/>
          <w:color w:val="auto"/>
        </w:rPr>
      </w:pPr>
    </w:p>
    <w:p>
      <w:pPr>
        <w:ind w:left="640" w:right="300" w:hanging="314"/>
        <w:spacing w:after="0" w:line="27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109" w:lineRule="exact"/>
        <w:rPr>
          <w:rFonts w:ascii="Arial" w:cs="Arial" w:eastAsia="Arial" w:hAnsi="Arial"/>
          <w:sz w:val="18"/>
          <w:szCs w:val="18"/>
          <w:color w:val="auto"/>
        </w:rPr>
      </w:pPr>
    </w:p>
    <w:p>
      <w:pPr>
        <w:ind w:left="640" w:right="360" w:hanging="314"/>
        <w:spacing w:after="0" w:line="27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63"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Cerebrum</w:t>
      </w:r>
      <w:r>
        <w:rPr>
          <w:rFonts w:ascii="Arial" w:cs="Arial" w:eastAsia="Arial" w:hAnsi="Arial"/>
          <w:sz w:val="18"/>
          <w:szCs w:val="18"/>
          <w:color w:val="auto"/>
        </w:rPr>
        <w:t>™</w:t>
      </w:r>
      <w:r>
        <w:rPr>
          <w:rFonts w:ascii="Arial" w:cs="Arial" w:eastAsia="Arial" w:hAnsi="Arial"/>
          <w:sz w:val="18"/>
          <w:szCs w:val="18"/>
          <w:b w:val="1"/>
          <w:bCs w:val="1"/>
          <w:color w:val="auto"/>
        </w:rPr>
        <w:t xml:space="preserve"> (small molecule platform)</w:t>
      </w:r>
    </w:p>
    <w:p>
      <w:pPr>
        <w:spacing w:after="0" w:line="114" w:lineRule="exact"/>
        <w:rPr>
          <w:sz w:val="20"/>
          <w:szCs w:val="20"/>
          <w:color w:val="auto"/>
        </w:rPr>
      </w:pPr>
    </w:p>
    <w:p>
      <w:pPr>
        <w:ind w:right="60" w:firstLine="439"/>
        <w:spacing w:after="0" w:line="250" w:lineRule="auto"/>
        <w:rPr>
          <w:sz w:val="20"/>
          <w:szCs w:val="20"/>
          <w:color w:val="auto"/>
        </w:rPr>
      </w:pPr>
      <w:r>
        <w:rPr>
          <w:rFonts w:ascii="Arial" w:cs="Arial" w:eastAsia="Arial" w:hAnsi="Arial"/>
          <w:sz w:val="18"/>
          <w:szCs w:val="18"/>
          <w:color w:val="auto"/>
        </w:rPr>
        <w:t xml:space="preserve">We have built Cerebrum™, enabled by innovative computational and experimental tools, to discover and develop first- and best-in-class CNS small molecule therapies. Our world-class ion channel discovery science team, along with external collaborators, accelerate our ability to create and execute novel screening cascades for our selected genetic targets. Fundamental to advancement of candidates are our multiscale disease models that link genetic cause to network function to elucidate novel drivers of disease phenotype. We employ translational biomarkers such as </w:t>
      </w:r>
      <w:r>
        <w:rPr>
          <w:rFonts w:ascii="Arial" w:cs="Arial" w:eastAsia="Arial" w:hAnsi="Arial"/>
          <w:sz w:val="18"/>
          <w:szCs w:val="18"/>
          <w:color w:val="202124"/>
        </w:rPr>
        <w:t>quantitative electroencephalography</w:t>
      </w:r>
      <w:r>
        <w:rPr>
          <w:rFonts w:ascii="Arial" w:cs="Arial" w:eastAsia="Arial" w:hAnsi="Arial"/>
          <w:sz w:val="18"/>
          <w:szCs w:val="18"/>
          <w:color w:val="auto"/>
        </w:rPr>
        <w:t>, or qEEG, to guide dose selection, with the goal of improving probability of success in the clinic. The precision application of our candidates is guided by genomics and informatics to identify, stratify and activate patients for trial recruitment and execution. To date, Cerebrum™ has generated three clinical stage product candidates, ulixacaltamide, vormatrigine and relutrigine, as well as PRAX-020 which has been in-licensed by UCB Biopharma SRL, or UCB. Cerebrum™ has the potential to continue delivering first- and best-in-class orally available therapies for genetic CNS targets.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Solidus</w:t>
      </w:r>
      <w:r>
        <w:rPr>
          <w:rFonts w:ascii="Arial" w:cs="Arial" w:eastAsia="Arial" w:hAnsi="Arial"/>
          <w:sz w:val="18"/>
          <w:szCs w:val="18"/>
          <w:color w:val="auto"/>
        </w:rPr>
        <w:t>™</w:t>
      </w:r>
      <w:r>
        <w:rPr>
          <w:rFonts w:ascii="Arial" w:cs="Arial" w:eastAsia="Arial" w:hAnsi="Arial"/>
          <w:sz w:val="18"/>
          <w:szCs w:val="18"/>
          <w:b w:val="1"/>
          <w:bCs w:val="1"/>
          <w:color w:val="auto"/>
        </w:rPr>
        <w:t xml:space="preserve"> (ASO platform)</w:t>
      </w:r>
    </w:p>
    <w:p>
      <w:pPr>
        <w:spacing w:after="0" w:line="114" w:lineRule="exact"/>
        <w:rPr>
          <w:sz w:val="20"/>
          <w:szCs w:val="20"/>
          <w:color w:val="auto"/>
        </w:rPr>
      </w:pPr>
    </w:p>
    <w:p>
      <w:pPr>
        <w:ind w:right="60" w:firstLine="439"/>
        <w:spacing w:after="0" w:line="268" w:lineRule="auto"/>
        <w:rPr>
          <w:sz w:val="20"/>
          <w:szCs w:val="20"/>
          <w:color w:val="auto"/>
        </w:rPr>
      </w:pPr>
      <w:r>
        <w:rPr>
          <w:rFonts w:ascii="Arial" w:cs="Arial" w:eastAsia="Arial" w:hAnsi="Arial"/>
          <w:sz w:val="17"/>
          <w:szCs w:val="17"/>
          <w:color w:val="auto"/>
        </w:rPr>
        <w:t>We have built Solidus™ to discover and develop first- and best-in-class ASOs with high probability of advancement into the clinic. Solidus™ is enabled by our proprietary, computational workflow to discover ASOs with desired drug-like properties to optimize for up/down-regulation, avoidance of toxic motifs and optimization of binding affinity and specificity. Led by our clinical-stage product candidate, elsunersen, for SCN2A early-onset DEE, Solidus™ has also generated three novel ASOs with preclinical proof of mechanism that we expect to nominate development candidates for in the first half of 2026 — PRAX-080 targeting PCDH19 mosaic expression disorders; PRAX-090 targeting SYNGAP1 loss-of-function, or LoF, mutations, a leading cause of severe intellectual disability and epilepsy in developmental and epileptic encephalopathies, or DEEs; and PRAX-100 targeting SCN2A LoF mutations, the predominant genetic link to de novo autism spectrum disorders. The platform is uniquely positioned to continue discovering and advancing other new ASOs for novel genetic CNS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149860</wp:posOffset>
            </wp:positionV>
            <wp:extent cx="5781675" cy="2459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167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*PRAX-020 (KCNT1) has been in-licensed by UCB Biopharma SRL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&amp; Approach to Drug Development</w:t>
      </w:r>
    </w:p>
    <w:p>
      <w:pPr>
        <w:spacing w:after="0" w:line="114"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 xml:space="preserve">We leverage the genetics of epilepsy as a gateway for CNS drug discovery and development. Recent investigations have led to the identification of over 900 genes that are causal or risk factors for different forms of epilepsy, providing the field with an outsized understanding of epilepsy genetics relative to other diseases such as Alzheimer’s disease, </w:t>
      </w:r>
      <w:r>
        <w:rPr>
          <w:rFonts w:ascii="Arial" w:cs="Arial" w:eastAsia="Arial" w:hAnsi="Arial"/>
          <w:sz w:val="18"/>
          <w:szCs w:val="18"/>
          <w:color w:val="202124"/>
        </w:rPr>
        <w:t>amyotrophic lateral sclerosis, or</w:t>
      </w:r>
      <w:r>
        <w:rPr>
          <w:rFonts w:ascii="Arial" w:cs="Arial" w:eastAsia="Arial" w:hAnsi="Arial"/>
          <w:sz w:val="18"/>
          <w:szCs w:val="18"/>
          <w:color w:val="auto"/>
        </w:rPr>
        <w:t xml:space="preserve"> ALS, and many others. The genetic origin provides clarity around how to address the underlying disease biology and precisely meet the needs of patients not only suffering from epilepsy, but also other neurological disorders of neuronal imbalance with shared pathophysiological mechanisms informed by the same genetics, including movement disorders. It is through our two platforms, Cerebrum™ and Solidus™, that we aim to translate these insights into the discovery, development and potential commercialization of clinically meaningful medicines for patients.</w:t>
      </w:r>
    </w:p>
    <w:p>
      <w:pPr>
        <w:spacing w:after="0" w:line="189"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We believe that fostering an ecosystem of collaborators to support our internal research, clinical and commercial efforts is critical to our strategy. Our collaborators include world-renowned research groups and drug developers, clinical research organizations, or CROs, innovative patient mapping database companies, experts in translational tools, next-generation drug delivery technology companies and others. In addition, we are deeply embedded within the communities that we serve and believe that the more we know about the impact on patients, caregivers and communities at large, the better positioned we will be to deliver on what patients actually need.</w:t>
      </w:r>
    </w:p>
    <w:p>
      <w:pPr>
        <w:spacing w:after="0" w:line="183" w:lineRule="exact"/>
        <w:rPr>
          <w:sz w:val="20"/>
          <w:szCs w:val="20"/>
          <w:color w:val="auto"/>
        </w:rPr>
      </w:pPr>
    </w:p>
    <w:p>
      <w:pPr>
        <w:ind w:right="240" w:firstLine="439"/>
        <w:spacing w:after="0" w:line="276" w:lineRule="auto"/>
        <w:rPr>
          <w:sz w:val="20"/>
          <w:szCs w:val="20"/>
          <w:color w:val="auto"/>
        </w:rPr>
      </w:pPr>
      <w:r>
        <w:rPr>
          <w:rFonts w:ascii="Arial" w:cs="Arial" w:eastAsia="Arial" w:hAnsi="Arial"/>
          <w:sz w:val="18"/>
          <w:szCs w:val="18"/>
          <w:color w:val="auto"/>
        </w:rPr>
        <w:t>Underlying each of our programs are four key principles that we believe will increase probability of success and allow us to sustainably and efficiently translate insights into high-impact therapies for patients and society:</w:t>
      </w:r>
    </w:p>
    <w:p>
      <w:pPr>
        <w:spacing w:after="0" w:line="110" w:lineRule="exact"/>
        <w:rPr>
          <w:sz w:val="20"/>
          <w:szCs w:val="20"/>
          <w:color w:val="auto"/>
        </w:rPr>
      </w:pPr>
    </w:p>
    <w:p>
      <w:pPr>
        <w:jc w:val="both"/>
        <w:ind w:left="640" w:right="120" w:hanging="314"/>
        <w:spacing w:after="0" w:line="307" w:lineRule="auto"/>
        <w:tabs>
          <w:tab w:leader="none" w:pos="628"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Focus on therapeutic targets identified through human genetics. </w:t>
      </w:r>
      <w:r>
        <w:rPr>
          <w:rFonts w:ascii="Arial" w:cs="Arial" w:eastAsia="Arial" w:hAnsi="Arial"/>
          <w:sz w:val="17"/>
          <w:szCs w:val="17"/>
          <w:color w:val="auto"/>
        </w:rPr>
        <w:t>By applying insights derived from the genetics of epilepsies,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identified biological targets that are implicated in determining neuronal excitability in epilepsies and also in other CNS disorders.</w:t>
      </w:r>
    </w:p>
    <w:p>
      <w:pPr>
        <w:spacing w:after="0" w:line="85" w:lineRule="exact"/>
        <w:rPr>
          <w:rFonts w:ascii="Arial" w:cs="Arial" w:eastAsia="Arial" w:hAnsi="Arial"/>
          <w:sz w:val="17"/>
          <w:szCs w:val="17"/>
          <w:color w:val="auto"/>
        </w:rPr>
      </w:pPr>
    </w:p>
    <w:p>
      <w:pPr>
        <w:ind w:left="640" w:hanging="314"/>
        <w:spacing w:after="0" w:line="252"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Utilize translational tools to validate the potential of our targets and product candidates. </w:t>
      </w:r>
      <w:r>
        <w:rPr>
          <w:rFonts w:ascii="Arial" w:cs="Arial" w:eastAsia="Arial" w:hAnsi="Arial"/>
          <w:sz w:val="18"/>
          <w:szCs w:val="18"/>
          <w:color w:val="auto"/>
        </w:rPr>
        <w:t>We leverage translational tools to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confirm pharmacodynamic, or PD, effects of our drug product candidates in the brain and establish on-mechanism effects. Our programs utilize target-specific electroencephalogram, or EEG, endpoints to serve as robust markers of pharmacological engagement of the drug target and novel transgenic animal models to assess the therapeutic activity of our molecules. We expect these tools, along with rigorous preclinical pharmacokinetics, or PK, and PD characterization of our molecules will position us to more efficiently translate preclinical findings into clinical utility.</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right="20" w:hanging="314"/>
        <w:spacing w:after="0" w:line="251"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Pursue efficient, rigorous clinical development paths to proof-of-concept in humans</w:t>
      </w:r>
      <w:r>
        <w:rPr>
          <w:rFonts w:ascii="Arial" w:cs="Arial" w:eastAsia="Arial" w:hAnsi="Arial"/>
          <w:sz w:val="18"/>
          <w:szCs w:val="18"/>
          <w:color w:val="auto"/>
        </w:rPr>
        <w:t>. Our development strategies are focused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defining efficient paths to demonstrate the safety and therapeutic activity of our programs in humans. We select indications that we believe will enable early and robust demonstration of desired effect in a relatively small patient sample and we focus on clinical endpoints that minimize inter-patient variability. Our global network of CROs and scientists affords us the flexibility to conduct research and development activities in diverse geographic locations to help accelerate development timelines and limit geographic risks. We have also solidified our know-how on running hybrid and decentralized clinical trials, increasing our ability to execute our programs with quality and speed, while being closer to patients needs.</w:t>
      </w:r>
    </w:p>
    <w:p>
      <w:pPr>
        <w:spacing w:after="0" w:line="135" w:lineRule="exact"/>
        <w:rPr>
          <w:rFonts w:ascii="Arial" w:cs="Arial" w:eastAsia="Arial" w:hAnsi="Arial"/>
          <w:sz w:val="18"/>
          <w:szCs w:val="18"/>
          <w:color w:val="auto"/>
        </w:rPr>
      </w:pPr>
    </w:p>
    <w:p>
      <w:pPr>
        <w:ind w:left="640" w:right="160" w:hanging="314"/>
        <w:spacing w:after="0" w:line="252"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Apply patient-guided development strategies. </w:t>
      </w:r>
      <w:r>
        <w:rPr>
          <w:rFonts w:ascii="Arial" w:cs="Arial" w:eastAsia="Arial" w:hAnsi="Arial"/>
          <w:sz w:val="18"/>
          <w:szCs w:val="18"/>
          <w:color w:val="auto"/>
        </w:rPr>
        <w:t>We pursue the development of candidates that address the treatment needs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caregivers and the treating community, including targeting the underlying disease pathology versus just symptom management. We focus on clinical endpoints that offer a clear connection between PD effects and clinical measures that are meaningful to patients, physicians and regulatory agencies. We intend to develop therapies that provide patients long-term relief from their disorders and significantly reduce the overall burden to patients and caregivers. Our development strategies are tailored to demonstrate these benefits.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STAGE PROGRAMS</w:t>
      </w:r>
    </w:p>
    <w:p>
      <w:pPr>
        <w:spacing w:after="0" w:line="114" w:lineRule="exact"/>
        <w:rPr>
          <w:sz w:val="20"/>
          <w:szCs w:val="20"/>
          <w:color w:val="auto"/>
        </w:rPr>
      </w:pPr>
    </w:p>
    <w:p>
      <w:pPr>
        <w:ind w:right="200" w:firstLine="439"/>
        <w:spacing w:after="0" w:line="276" w:lineRule="auto"/>
        <w:rPr>
          <w:sz w:val="20"/>
          <w:szCs w:val="20"/>
          <w:color w:val="auto"/>
        </w:rPr>
      </w:pPr>
      <w:r>
        <w:rPr>
          <w:rFonts w:ascii="Arial" w:cs="Arial" w:eastAsia="Arial" w:hAnsi="Arial"/>
          <w:sz w:val="18"/>
          <w:szCs w:val="18"/>
          <w:color w:val="auto"/>
        </w:rPr>
        <w:t>We have advanced four product candidates to clinical stage, including three small molecules through the Cerebrum™ platform and one ASO through the Solidus™ platform.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Ulixacaltamide for Essential Tremor</w:t>
      </w:r>
    </w:p>
    <w:p>
      <w:pPr>
        <w:spacing w:after="0" w:line="114"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Our most advanced program, ulixacaltamide, is a differentiated and highly selective small molecule inhibitor of T-type calcium channels in development for the treatment of essential tremor, or ET. The U.S. Food and Drug Administration, or the FDA, granted Breakthrough Therapy Designation, or BTD, for ulixacaltamide for the treatment of patients with ET based on the positive topline data from the Essential3 program, as described below. Additionally, we have an exclusive collaboration and license agreement with Tenacia Biotechnology (Shanghai) Company, Ltd., a China-based portfolio company of Bain Capital, to develop and commercialize ulixacaltamide for the treatment of ET in China, Hong Kong, Macau and Taiwan. In addition to ET, ulixacaltamide has the potential to be developed for other indications.</w:t>
      </w:r>
    </w:p>
    <w:p>
      <w:pPr>
        <w:spacing w:after="0" w:line="187" w:lineRule="exact"/>
        <w:rPr>
          <w:sz w:val="20"/>
          <w:szCs w:val="20"/>
          <w:color w:val="auto"/>
        </w:rPr>
      </w:pPr>
    </w:p>
    <w:p>
      <w:pPr>
        <w:ind w:right="120" w:firstLine="439"/>
        <w:spacing w:after="0" w:line="276" w:lineRule="auto"/>
        <w:rPr>
          <w:sz w:val="20"/>
          <w:szCs w:val="20"/>
          <w:color w:val="auto"/>
        </w:rPr>
      </w:pPr>
      <w:r>
        <w:rPr>
          <w:rFonts w:ascii="Arial" w:cs="Arial" w:eastAsia="Arial" w:hAnsi="Arial"/>
          <w:sz w:val="18"/>
          <w:szCs w:val="18"/>
          <w:color w:val="auto"/>
        </w:rPr>
        <w:t>We submitted a New Drug Application, or NDA, for ulixacaltamide for the treatment of ET to the FDA, and have commenced commercial preparations and pre-launch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Ulixacaltamide Phase 3 Essential3 Program</w:t>
      </w:r>
    </w:p>
    <w:p>
      <w:pPr>
        <w:spacing w:after="0" w:line="112" w:lineRule="exact"/>
        <w:rPr>
          <w:sz w:val="20"/>
          <w:szCs w:val="20"/>
          <w:color w:val="auto"/>
        </w:rPr>
      </w:pPr>
    </w:p>
    <w:p>
      <w:pPr>
        <w:ind w:right="80" w:firstLine="439"/>
        <w:spacing w:after="0" w:line="276" w:lineRule="auto"/>
        <w:rPr>
          <w:sz w:val="20"/>
          <w:szCs w:val="20"/>
          <w:color w:val="auto"/>
        </w:rPr>
      </w:pPr>
      <w:r>
        <w:rPr>
          <w:rFonts w:ascii="Arial" w:cs="Arial" w:eastAsia="Arial" w:hAnsi="Arial"/>
          <w:sz w:val="18"/>
          <w:szCs w:val="18"/>
          <w:color w:val="auto"/>
        </w:rPr>
        <w:t>Essential3 was a decentralized, Phase 3, multi-study, clinical trial evaluating the safety and efficacy of 60 mg of ulixacaltamide in ET. The program included two separate and simultaneous Phase 3 pivotal studies:</w:t>
      </w:r>
    </w:p>
    <w:p>
      <w:pPr>
        <w:spacing w:after="0" w:line="110" w:lineRule="exact"/>
        <w:rPr>
          <w:sz w:val="20"/>
          <w:szCs w:val="20"/>
          <w:color w:val="auto"/>
        </w:rPr>
      </w:pPr>
    </w:p>
    <w:p>
      <w:pPr>
        <w:ind w:left="640" w:right="240" w:hanging="314"/>
        <w:spacing w:after="0" w:line="26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Study 1 was a double-blind, parallel design, placebo-controlled study that enrolled 473 patients randomized 1:1 to receive either ulixacaltamide or placebo for 12 weeks. The primary endpoint was the change from baseline in the modified Activities of Daily Living 11, or mADL11, at Week 8.</w:t>
      </w:r>
    </w:p>
    <w:p>
      <w:pPr>
        <w:spacing w:after="0" w:line="123" w:lineRule="exact"/>
        <w:rPr>
          <w:rFonts w:ascii="Arial" w:cs="Arial" w:eastAsia="Arial" w:hAnsi="Arial"/>
          <w:sz w:val="18"/>
          <w:szCs w:val="18"/>
          <w:color w:val="auto"/>
        </w:rPr>
      </w:pPr>
    </w:p>
    <w:p>
      <w:pPr>
        <w:ind w:left="640" w:right="40" w:hanging="314"/>
        <w:spacing w:after="0" w:line="25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Study 2 was a stable-responder randomized withdrawal study that enrolled 238 patients to receive ulixacaltamide for 8 weeks. Patients who improved by 3 points in the mADL11 from baseline were then randomized to receive either placebo or to continue receiving ulixacaltamide for an additional 4 weeks. The primary endpoint evaluated the proportion of patients who maintained response while receiving ulixacaltamide versus placebo.</w:t>
      </w:r>
    </w:p>
    <w:p>
      <w:pPr>
        <w:spacing w:after="0" w:line="182"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There were two additional pre-specified hypotheses evaluating combinations of arms in Study 1 and Study 2 using the change in mADL11 at Week 8. Hypothesis 3 compared the ulixacaltamide arms of Study 1 and Study 2 with the placebo arm of Study 1, and Hypothesis 4 compared the ulixacaltamide arm of Study 2 with the placebo arm of Study 1.</w:t>
      </w:r>
    </w:p>
    <w:p>
      <w:pPr>
        <w:spacing w:after="0" w:line="177" w:lineRule="exact"/>
        <w:rPr>
          <w:sz w:val="20"/>
          <w:szCs w:val="20"/>
          <w:color w:val="auto"/>
        </w:rPr>
      </w:pPr>
    </w:p>
    <w:p>
      <w:pPr>
        <w:ind w:right="300" w:firstLine="439"/>
        <w:spacing w:after="0" w:line="276" w:lineRule="auto"/>
        <w:rPr>
          <w:sz w:val="20"/>
          <w:szCs w:val="20"/>
          <w:color w:val="auto"/>
        </w:rPr>
      </w:pPr>
      <w:r>
        <w:rPr>
          <w:rFonts w:ascii="Arial" w:cs="Arial" w:eastAsia="Arial" w:hAnsi="Arial"/>
          <w:sz w:val="18"/>
          <w:szCs w:val="18"/>
          <w:color w:val="auto"/>
        </w:rPr>
        <w:t>Key secondary endpoints in Studies 1 and 2 assessed the rate of disease improvement (slope of mADL11 change), the Patient Global Impression of change, or PGI-C, and Clinical Global Impression of severity, or CGI-S.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announced positive topline results for the Essential3 program in the fourth quarter of 2025.</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Study 1: Placebo-controlled Parallel Group Study</w:t>
      </w:r>
    </w:p>
    <w:p>
      <w:pPr>
        <w:spacing w:after="0" w:line="112"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Study 1 met its primary and all key secondary endpoints. Patients treated with ulixacaltamide showed a mean improvement from baseline in the mADL11 at Week 8 of 4.3 points (p&lt;0.0001). The improvement in mADL11 was observed as early as Week 2 and was sustained through Week 12. All key secondary endpoints were met, including rate of disease improvement, PGI-C and CGI-S at Week 8 showing statistically significant improvement with ulixacaltamide versus placebo (p&lt;0.001).</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Study 2: Randomized Withdrawal Study</w:t>
      </w:r>
    </w:p>
    <w:p>
      <w:pPr>
        <w:spacing w:after="0" w:line="112"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Study 2 met its primary endpoint and first secondary endpoint. The primary endpoint of percentage of patients maintaining response was met with 55% of patients on ulixacaltamide vs 33% of patients on placebo maintaining their response (p=0.037). The first key secondary endpoint of rate of disease improvement during the randomized withdrawal period also demonstrated superior effect in patients on ulixacaltamide versus placebo (p=0.0042).</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Combined Study 1 and Study 2 Hypotheses</w:t>
      </w:r>
    </w:p>
    <w:p>
      <w:pPr>
        <w:spacing w:after="0" w:line="112" w:lineRule="exact"/>
        <w:rPr>
          <w:sz w:val="20"/>
          <w:szCs w:val="20"/>
          <w:color w:val="auto"/>
        </w:rPr>
      </w:pPr>
    </w:p>
    <w:p>
      <w:pPr>
        <w:ind w:right="240" w:firstLine="439"/>
        <w:spacing w:after="0" w:line="256" w:lineRule="auto"/>
        <w:rPr>
          <w:sz w:val="20"/>
          <w:szCs w:val="20"/>
          <w:color w:val="auto"/>
        </w:rPr>
      </w:pPr>
      <w:r>
        <w:rPr>
          <w:rFonts w:ascii="Arial" w:cs="Arial" w:eastAsia="Arial" w:hAnsi="Arial"/>
          <w:sz w:val="18"/>
          <w:szCs w:val="18"/>
          <w:color w:val="auto"/>
        </w:rPr>
        <w:t>Hypothesis 3 and 4 further supported the consistency of the effect of ulixacaltamide versus placebo. For Hypothesis 3, there was a 4.3 point improvement in mADL11 at Week 8 for the combined Studies 1 and 2 ulixacaltamide groups versus Study 1 placebo (p&lt;0.0001). For Hypothesis 4, there was a 4.2 point improvement in mADL11 at Week 8 for the Study 2 ulixacaltamide group versus Study 1 placebo (p&lt;0.0001), respectively.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Safety</w:t>
      </w:r>
    </w:p>
    <w:p>
      <w:pPr>
        <w:spacing w:after="0" w:line="112" w:lineRule="exact"/>
        <w:rPr>
          <w:sz w:val="20"/>
          <w:szCs w:val="20"/>
          <w:color w:val="auto"/>
        </w:rPr>
      </w:pPr>
    </w:p>
    <w:p>
      <w:pPr>
        <w:ind w:right="220" w:firstLine="439"/>
        <w:spacing w:after="0" w:line="276" w:lineRule="auto"/>
        <w:rPr>
          <w:sz w:val="20"/>
          <w:szCs w:val="20"/>
          <w:color w:val="auto"/>
        </w:rPr>
      </w:pPr>
      <w:r>
        <w:rPr>
          <w:rFonts w:ascii="Arial" w:cs="Arial" w:eastAsia="Arial" w:hAnsi="Arial"/>
          <w:sz w:val="18"/>
          <w:szCs w:val="18"/>
          <w:color w:val="auto"/>
        </w:rPr>
        <w:t>Ulixacaltamide was generally well tolerated over 12 weeks of treatment with a safety profile consistent with previous trials and no drug-related serious adverse events.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Essential1 study</w:t>
      </w:r>
    </w:p>
    <w:p>
      <w:pPr>
        <w:spacing w:after="0" w:line="112"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The Essential1 study was a multi-center, randomized, double-blind, placebo-controlled, dose-range finding Phase 2b clinical trial evaluating the efficacy, safety and tolerability of once-daily treatment of ulixacaltamide compared to placebo after 56 days in participants with moderate-to-severe ET. Topline results for the Phase 2b Essential1 study were announced in the first quarter of 2023. Results of the Essential1 study informed the design of the Phase 3 Essential3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Essential Tremor</w:t>
      </w:r>
    </w:p>
    <w:p>
      <w:pPr>
        <w:spacing w:after="0" w:line="112" w:lineRule="exact"/>
        <w:rPr>
          <w:sz w:val="20"/>
          <w:szCs w:val="20"/>
          <w:color w:val="auto"/>
        </w:rPr>
      </w:pPr>
    </w:p>
    <w:p>
      <w:pPr>
        <w:ind w:right="40" w:firstLine="439"/>
        <w:spacing w:after="0" w:line="267" w:lineRule="auto"/>
        <w:rPr>
          <w:sz w:val="20"/>
          <w:szCs w:val="20"/>
          <w:color w:val="auto"/>
        </w:rPr>
      </w:pPr>
      <w:r>
        <w:rPr>
          <w:rFonts w:ascii="Arial" w:cs="Arial" w:eastAsia="Arial" w:hAnsi="Arial"/>
          <w:sz w:val="17"/>
          <w:szCs w:val="17"/>
          <w:color w:val="auto"/>
        </w:rPr>
        <w:t>ET is one of the most common movement disorders, affecting roughly seven million people in the United States alone, representing a multi-billion dollar commercial opportunity. ET is characterized by involuntary rhythmic movements in the upper limbs, with or without tremor in other body locations such as the head, vocal cords, or legs. These tremors significantly disrupt daily living and are progressive in nature, with increases in tremor severity commonly observed over the course of the disease. Propranolol, a beta-blocker, is the only approved pharmacotherapy for ET offering limited efficacy and poor tolerability and is contraindicated for comorbidities that affect a significant share of the ET population. Other beta blockers and anti-convulsants are used off-label, though similarly are characterized by limited efficacy and tolerability. The vast majority of patients are left without a treatment option, with an estimated minimum of two million patients currently seeking treatment. In a patient survey, up to 77% of patients felt their ET is inadequately controlled. U.S. neurologists surveyed indicated that 85% of their visits are for patients seeking ET treatment. We believe these findings underscore the need for more effective treatments for 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Relutrigine for Developmental and Epileptic Encephalopathies</w:t>
      </w:r>
    </w:p>
    <w:p>
      <w:pPr>
        <w:spacing w:after="0" w:line="114" w:lineRule="exact"/>
        <w:rPr>
          <w:sz w:val="20"/>
          <w:szCs w:val="20"/>
          <w:color w:val="auto"/>
        </w:rPr>
      </w:pPr>
    </w:p>
    <w:p>
      <w:pPr>
        <w:ind w:right="240" w:firstLine="439"/>
        <w:spacing w:after="0" w:line="251" w:lineRule="auto"/>
        <w:rPr>
          <w:sz w:val="20"/>
          <w:szCs w:val="20"/>
          <w:color w:val="auto"/>
        </w:rPr>
      </w:pPr>
      <w:r>
        <w:rPr>
          <w:rFonts w:ascii="Arial" w:cs="Arial" w:eastAsia="Arial" w:hAnsi="Arial"/>
          <w:sz w:val="18"/>
          <w:szCs w:val="18"/>
          <w:color w:val="auto"/>
        </w:rPr>
        <w:t>Relutrigine is a first-in-class small molecule in development for the treatment of DEEs as a preferential inhibitor of persistent sodium current, shown to be a key driver of seizure symptoms in severe DEEs. Relutrigine's mechanism of precision sodium channel, or NaV, modulation is consistent with superior selectivity for disease-state NaV channel hyperexcitability. In-vivo studies of relutrigine have demonstrated dose-dependent inhibition of seizures up to complete control of seizure activity in SCN2A, SCN8A and other DEE mouse models. Relutrigine has been generally well-tolerated in three Phase 1 studies and has demonstrated biomarker changes indicative of NaV channel modulation. Relutrigine has received Orphan Drug Designation, or ODD, and Rare Pediatric Disease Designation, or RPD, from the FDA for the treatment of SCN2A-DEE, SCN8A-DEE and Dravet Syndrome, as well as BTD from the FDA and ODD from the European Medicines Agency, or EMA, for the treatment of SCN2A-DEE and SCN8A-DEE.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We have submitted an NDA for relutrigine for the treatment of SCN2A-DEE and SCN8A-DEE to the FDA based on data from the EMBOLD study, and commercial preparations and pre-launch activities are underway. Assuming successful initial NDA approval for relutrigine, we believe the EMERALD study evaluating relutrigine in patients with broad DEEs, if positive, could serve as the basis for a supplemental NDA, or sNDA, submission in 2027.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EMBOLD study</w:t>
      </w:r>
    </w:p>
    <w:p>
      <w:pPr>
        <w:spacing w:after="0" w:line="112" w:lineRule="exact"/>
        <w:rPr>
          <w:sz w:val="20"/>
          <w:szCs w:val="20"/>
          <w:color w:val="auto"/>
        </w:rPr>
      </w:pPr>
    </w:p>
    <w:p>
      <w:pPr>
        <w:ind w:right="120" w:firstLine="439"/>
        <w:spacing w:after="0" w:line="276" w:lineRule="auto"/>
        <w:rPr>
          <w:sz w:val="20"/>
          <w:szCs w:val="20"/>
          <w:color w:val="auto"/>
        </w:rPr>
      </w:pPr>
      <w:r>
        <w:rPr>
          <w:rFonts w:ascii="Arial" w:cs="Arial" w:eastAsia="Arial" w:hAnsi="Arial"/>
          <w:sz w:val="17"/>
          <w:szCs w:val="17"/>
          <w:color w:val="auto"/>
        </w:rPr>
        <w:t>The EMBOLD study was a randomized, double-blind, placebo-controlled Phase 2 clinical trial evaluating the safety, tolerability, efficacy (motor seizure frequency) and PK of relutrigine in pediatric participants aged 2 to 18 years with DEEs, followed by an open-label extension. Data from cohort 1 of the Phase 2 EMBOLD study demonstrated a well-tolerated, robust, short- and long-term improvement in motor seizures in a heavily pre-treated population, alongside maintained seizure freedom in some patients with SCN2A-DEE and SCN8A-DEE.</w:t>
      </w:r>
    </w:p>
    <w:p>
      <w:pPr>
        <w:spacing w:after="0" w:line="166"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In the fourth quarter of 2025, we announced positive results from the registrational cohort of the EMBOLD study after receiving a recommendation from the Data Monitoring Committee to stop the study early for efficacy. Relutrigine was well-tolerated with rapid, significant and increasing seizure reduction over time with broad functional improvements across behavior, alertness, communication and overall status. Patients receiving relutrigine (n=51) experienced a 53% placebo-adjusted reduction in seizures over 16-weeks (p&lt;0.0002) and achieved a 66% increase in motor seizure -free days (p=0.034). Both clinician and caregiver global impression scores showed statistically significant improvements, with most patients improving across both scales in alertness, communication, and seizure severity. There were no drug-related serious adverse events and treatment-related adverse events were predominantly mild and moderate.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EMERALD Study</w:t>
      </w:r>
    </w:p>
    <w:p>
      <w:pPr>
        <w:spacing w:after="0" w:line="112" w:lineRule="exact"/>
        <w:rPr>
          <w:sz w:val="20"/>
          <w:szCs w:val="20"/>
          <w:color w:val="auto"/>
        </w:rPr>
      </w:pPr>
    </w:p>
    <w:p>
      <w:pPr>
        <w:ind w:right="320" w:firstLine="439"/>
        <w:spacing w:after="0" w:line="256" w:lineRule="auto"/>
        <w:rPr>
          <w:sz w:val="20"/>
          <w:szCs w:val="20"/>
          <w:color w:val="auto"/>
        </w:rPr>
      </w:pPr>
      <w:r>
        <w:rPr>
          <w:rFonts w:ascii="Arial" w:cs="Arial" w:eastAsia="Arial" w:hAnsi="Arial"/>
          <w:sz w:val="18"/>
          <w:szCs w:val="18"/>
          <w:color w:val="auto"/>
        </w:rPr>
        <w:t>The EMERALD study is a randomized, double-blind, placebo-controlled Phase 3 clinical trial evaluating the efficacy, safety, tolerability and PK of relutrigine in patients with broad DEEs regardless of etiology. We have initiated the study and expect to be fully enrolled in the second half of 2026. Assuming approval of the NDA for relutrigine, the EMERALD study, if positive, could serve as the basis for an sNDA submission in 2027.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monogenic DEEs</w:t>
      </w:r>
    </w:p>
    <w:p>
      <w:pPr>
        <w:spacing w:after="0" w:line="112"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Epilepsies are common neurological disorders characterized by brain excitation-inhibition, or E/I, imbalance. Hyperexcitability can lead to abnormal synchronization of neurons and neuronal circuits, which is the electrical basis of a seizure. Fundamentals of brain electrophysiology and mechanisms dictating seizure genesis are conserved across species and, consequently, animal models of seizures and epilepsy enable a clinically predictive and therefore efficient drug development path. A subset of epilepsies are rare, monogenic DEEs characterized by early onset (less than 2 years of age), frequent seizures, abnormal epileptiform EEG activity, developmental impairment and resistance to available AEDs. Furthermore, these DEEs are associated with a high mortality rate and comorbidities such as developmental delay in addition to behavioral disorders, movement disorders, pain and sensory dysfunction and sleep disruptions. Collectively, DEEs represent a broader, heterogeneous group of severe epilepsies that impose a profound burden on patients and caregivers and can include autonomic dysfunction in addition to the comorbidities described above. The understanding of the etiology of DEEs has been revolutionized by recent whole-exome sequencing initiatives that revealed over 60 genetic causes of epilepsy. Even when an identifiable genetic etiology is present, clinical presentation and severity can vary widely across patients and etiologies. We estimate there are approximately 200,000 patients in the United States living with a DEE.</w:t>
      </w:r>
    </w:p>
    <w:p>
      <w:pPr>
        <w:spacing w:after="0" w:line="192"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An underlying pathologic feature of many DEEs is dysregulated neuronal activity leading to hyperexcitability, seizures and associated comorbidities. This phenomenon is observed in many pediatric DEEs with an identified genetic cause, such as PCDH19, SCN8A, SCN2A, KCNT1, KCNQ2, KCNQ1, STXBP1 and SYNGAP1, as well as epilepsies in which a genetic cause remains unclear, such as Lennox Gastaut Syndrome, or Doose Syndrome. Up to 40% of DEEs are caused by single gene mutations, enabling precision medicine approaches. Given the overlapping biology, phenotypic presentation and clinical execution considerations, we believe that developing a portfolio of drugs to treat DEEs will create a distinct body of knowledge that can be leveraged within our operating ecosystem to develop meaningful therapies for this group of patients with devastating unmet clinical needs.</w:t>
      </w:r>
    </w:p>
    <w:p>
      <w:pPr>
        <w:spacing w:after="0" w:line="189"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Standard-of-care sodium channel blockers modulate neuronal activity by targeting peak sodium current, which can reverse the pathological neuronal hyperexcitability that underlies many CNS conditions, but simultaneously affects the physiological cellular action potential firing required for a functioning nervous and cardiovascular system.</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While standard-of-care sodium channel blockers inhibit persistent sodium current, they also block peak sodium current at therapeutic concentrations, which can cause significant AEs, such as ataxia, drowsiness and dizziness, and therefore have a very narrow Therapeutic Index, or TI, resulting in subpar outcomes for patients and significant need for better therapeutic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SCN2A-DEE</w:t>
      </w:r>
    </w:p>
    <w:p>
      <w:pPr>
        <w:spacing w:after="0" w:line="112" w:lineRule="exact"/>
        <w:rPr>
          <w:sz w:val="20"/>
          <w:szCs w:val="20"/>
          <w:color w:val="auto"/>
        </w:rPr>
      </w:pPr>
    </w:p>
    <w:p>
      <w:pPr>
        <w:ind w:right="160" w:firstLine="439"/>
        <w:spacing w:after="0" w:line="250" w:lineRule="auto"/>
        <w:rPr>
          <w:sz w:val="20"/>
          <w:szCs w:val="20"/>
          <w:color w:val="auto"/>
        </w:rPr>
      </w:pPr>
      <w:r>
        <w:rPr>
          <w:rFonts w:ascii="Arial" w:cs="Arial" w:eastAsia="Arial" w:hAnsi="Arial"/>
          <w:sz w:val="18"/>
          <w:szCs w:val="18"/>
          <w:color w:val="auto"/>
        </w:rPr>
        <w:t>SCN2A-DEE is a rare condition caused by a mutation in the SCN2A gene. The SCN2A gene encodes the NaV1.2 subunit of brain sodium channels, which control neuronal excitability by regulating the flow of sodium ions into neurons. This movement of sodium ions is a major component of generating electrical signals called action potentials, the way in which the cells communicate. SCN2A-DEE is associated with profound impact on patients, including drug-resistant seizures, significant cognitive impairment, movement disorders such as dystonia or ataxia, and problems in other body systems such as the gastrointestinal or ocular systems. Currently, there are no approved treatments for SCN2A-DEE, and the standard-of-care typically involves a regimen of many concurrent anti-seizure medications as well as medications for comorbidities. Despite these interventions, it is estimated that more than 80% of SCN2A-DEE patients live with uncontrolled seizures, and approximately 75% live with severe intellectual disability. It is estimated that there are approximately 4,000 patients in the United States with gain-of-function changes in SCN2A leading to epileptic encephalopathy.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SCN8A-DEE</w:t>
      </w:r>
    </w:p>
    <w:p>
      <w:pPr>
        <w:spacing w:after="0" w:line="112"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Similar to SCN2A-DEE, patients with SCN8A-DEE suffer from recurrent, typically drug-resistant seizures, which start as early as the first day of life. The seizures can be of multiple different types, up to dozens per day, with poor response to current treatment options. Patients with SCN8A-DEE have significant cognitive disabilities, ranging from moderate to severe, often have movement disorders, such as dystonia or ataxia, and have problems in other body systems such as the gastrointestinal or ocular systems. SCN8A-DEE patients also may experience autonomic features such as increases or decreases in heart rate, abnormal breathing and cyanosis. It is estimated that there are approximately 5,000 patients in the United States with SCN8A-DEE.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Vormatrigine for Common Epilepsies (Focal Onset Seizures and Generalized Epilepsy)</w:t>
      </w:r>
    </w:p>
    <w:p>
      <w:pPr>
        <w:spacing w:after="0" w:line="114"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Vormatrigine is a next-generation, functionally selective small molecule targeting the hyperexcitable state of sodium-channels in the brain and is currently being developed as a once daily, oral treatment for adult focal onset seizures, or FOS, and generalized epilepsy. Preclinical data demonstrates vormatrigine is differentiated from standard of care, with the potential to be best-in -class for focal epilepsy. In vitro, vormatrigine has demonstrated superior selectivity for disease-state NaV channel hyperexcitability. In vivo studies of vormatrigine have demonstrated unprecedented potency in the maximal electroshock seizure, or MES, model, a highly predictive translational model for efficacy in focal epilepsy. Data from patients in the RADIANT study demonstrated a robust seizure reduction, with vormatrigine being generally well tolerated.</w:t>
      </w:r>
    </w:p>
    <w:p>
      <w:pPr>
        <w:spacing w:after="0" w:line="189" w:lineRule="exact"/>
        <w:rPr>
          <w:sz w:val="20"/>
          <w:szCs w:val="20"/>
          <w:color w:val="auto"/>
        </w:rPr>
      </w:pPr>
    </w:p>
    <w:p>
      <w:pPr>
        <w:ind w:right="360" w:firstLine="439"/>
        <w:spacing w:after="0" w:line="276" w:lineRule="auto"/>
        <w:rPr>
          <w:sz w:val="20"/>
          <w:szCs w:val="20"/>
          <w:color w:val="auto"/>
        </w:rPr>
      </w:pPr>
      <w:r>
        <w:rPr>
          <w:rFonts w:ascii="Arial" w:cs="Arial" w:eastAsia="Arial" w:hAnsi="Arial"/>
          <w:sz w:val="18"/>
          <w:szCs w:val="18"/>
          <w:color w:val="auto"/>
        </w:rPr>
        <w:t>Our ENERGY program for vormatrigine aims to generate efficacy, safety and PK data to serve as the basis of regulatory registrations globally.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Program</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ENERGY program consists of five studies — EMPOWER, RADIANT, POWER1, POWER2 and POWER3.</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EMPOWER Observational Study</w:t>
      </w:r>
    </w:p>
    <w:p>
      <w:pPr>
        <w:spacing w:after="0" w:line="112" w:lineRule="exact"/>
        <w:rPr>
          <w:sz w:val="20"/>
          <w:szCs w:val="20"/>
          <w:color w:val="auto"/>
        </w:rPr>
      </w:pPr>
    </w:p>
    <w:p>
      <w:pPr>
        <w:ind w:right="140" w:firstLine="439"/>
        <w:spacing w:after="0" w:line="254" w:lineRule="auto"/>
        <w:rPr>
          <w:sz w:val="20"/>
          <w:szCs w:val="20"/>
          <w:color w:val="auto"/>
        </w:rPr>
      </w:pPr>
      <w:r>
        <w:rPr>
          <w:rFonts w:ascii="Arial" w:cs="Arial" w:eastAsia="Arial" w:hAnsi="Arial"/>
          <w:sz w:val="18"/>
          <w:szCs w:val="18"/>
          <w:color w:val="auto"/>
        </w:rPr>
        <w:t>EMPOWER is an observational study that aims to better characterize seizure burden. We initiated the study in the third quarter of 2024 and continue to generate standardized, longitudinal data to support planned interventional trials and deepen our understanding of patient experiences with epilepsy. Findings to date from EMPOWER revealed that few patients are cared for by epileptologists, with epilepsy patient burden compounded by uncontrolled seizures that affect quality of life. Despite being on multiple antiseizure medications, patients continue to report seizures, reinforcing the urgent need for targeted and innovative therapies.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RADIANT Phase 2 Study</w:t>
      </w:r>
    </w:p>
    <w:p>
      <w:pPr>
        <w:spacing w:after="0" w:line="112" w:lineRule="exact"/>
        <w:rPr>
          <w:sz w:val="20"/>
          <w:szCs w:val="20"/>
          <w:color w:val="auto"/>
        </w:rPr>
      </w:pPr>
    </w:p>
    <w:p>
      <w:pPr>
        <w:ind w:right="280" w:firstLine="439"/>
        <w:spacing w:after="0" w:line="261" w:lineRule="auto"/>
        <w:rPr>
          <w:sz w:val="20"/>
          <w:szCs w:val="20"/>
          <w:color w:val="auto"/>
        </w:rPr>
      </w:pPr>
      <w:r>
        <w:rPr>
          <w:rFonts w:ascii="Arial" w:cs="Arial" w:eastAsia="Arial" w:hAnsi="Arial"/>
          <w:sz w:val="18"/>
          <w:szCs w:val="18"/>
          <w:color w:val="auto"/>
        </w:rPr>
        <w:t>RADIANT was a Phase 2 open-label study to evaluate PK, safety and efficacy of vormatrigine in patients with FOS or generalized epilepsy. We announced positive topline results from RADIANT in the second half of 2025. Patients with FOS (n=62) taking vormatrigine for eight weeks on background anti-seizure medications saw a 54%</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median reduction in seizures. In week 1, 58% of patients achieved at least a 50% reduction in seizures, which increased to 61% by week 8. Patients continuing to the open-label extension observed an increasing and sustained effect, reaching 100% median weekly seizure reduction after 8 weeks and maintained through 16 weeks. Over 11% of patients experienced seizure freedom for the entire 8-week period and roughly one third of patients experienced seizure freedom for a consecutive 28-day period. Patients with generalized epilepsy (n=3) also demonstrated rapid, durable seizure reduction, supporting the broad potential of vormatrigine across seizure types. Vormatrigine was generally well-tolerated and demonstrated a favorable safety profile.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POWER1 and POWER2 Registrational Studies</w:t>
      </w:r>
    </w:p>
    <w:p>
      <w:pPr>
        <w:spacing w:after="0" w:line="112" w:lineRule="exact"/>
        <w:rPr>
          <w:sz w:val="20"/>
          <w:szCs w:val="20"/>
          <w:color w:val="auto"/>
        </w:rPr>
      </w:pPr>
    </w:p>
    <w:p>
      <w:pPr>
        <w:ind w:right="220" w:firstLine="439"/>
        <w:spacing w:after="0" w:line="256" w:lineRule="auto"/>
        <w:rPr>
          <w:sz w:val="20"/>
          <w:szCs w:val="20"/>
          <w:color w:val="auto"/>
        </w:rPr>
      </w:pPr>
      <w:r>
        <w:rPr>
          <w:rFonts w:ascii="Arial" w:cs="Arial" w:eastAsia="Arial" w:hAnsi="Arial"/>
          <w:sz w:val="18"/>
          <w:szCs w:val="18"/>
          <w:color w:val="auto"/>
        </w:rPr>
        <w:t>POWER1 is a Phase 2/3 double-blind, placebo-controlled, 12-week study to evaluate the efficacy and safety of vormatrigine in patients with FOS (n=~230). POWER1 is a parallel-arm study, comparing a treatment arm of 20 mg for six weeks followed by 30 mg for six weeks versus a placebo arm for 12 weeks, followed by an open-label extension. The primary endpoint is change in seizure frequency. We expect to announce topline results in the second quarter of 2026.</w:t>
      </w:r>
    </w:p>
    <w:p>
      <w:pPr>
        <w:spacing w:after="0" w:line="182" w:lineRule="exact"/>
        <w:rPr>
          <w:sz w:val="20"/>
          <w:szCs w:val="20"/>
          <w:color w:val="auto"/>
        </w:rPr>
      </w:pPr>
    </w:p>
    <w:p>
      <w:pPr>
        <w:jc w:val="both"/>
        <w:ind w:right="100" w:firstLine="399"/>
        <w:spacing w:after="0" w:line="261" w:lineRule="auto"/>
        <w:rPr>
          <w:sz w:val="20"/>
          <w:szCs w:val="20"/>
          <w:color w:val="auto"/>
        </w:rPr>
      </w:pPr>
      <w:r>
        <w:rPr>
          <w:rFonts w:ascii="Arial" w:cs="Arial" w:eastAsia="Arial" w:hAnsi="Arial"/>
          <w:sz w:val="18"/>
          <w:szCs w:val="18"/>
          <w:color w:val="auto"/>
        </w:rPr>
        <w:t>POWER2 is a Phase 3 double-blind, placebo-controlled 12-week study to evaluate the efficacy and safety of vormatrigine in patients with FOS (n=~400). POWER2 is a multi-arm study, comparing treatment arms of 20 mg, 30 mg and 40 mg versus placebo for 12 weeks. POWER2 is enrolling patients, with completion expected in the second half of 2026 and topline results expected in 2027.</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POWER1 and POWER2 studies are positive, we plan to submit an NDA for vormatrigine in 2027.</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POWER3 Study</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intend to initiate POWER3, a clinical trial evaluating vormatrigine as a single-agent treatment for FOS, in the first half of 2026.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2a Photo-Paroxysmal Response Study</w:t>
      </w:r>
    </w:p>
    <w:p>
      <w:pPr>
        <w:spacing w:after="0" w:line="112"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We conducted a Phase 2a Photo-Paroxysmal Response, or PPR, study to evaluate the efficacy and safety of vormatrigine across two cohorts, dosed at 15 mg and 45 mg. PPR studies measure EEG signatures after intermittent photic stimulation and are widely used as a marker of anti -seizure efficacy and to aid in dose determination. We announced topline results in the first quarter of 2024, with 100% of patients responding in both cohorts. Safety results were consistent with our prior Phase 1 dose escalation study of vormatrigine and PK analysis confirmed therapeutic exposures.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Vormatrigine Phase 1 Studies</w:t>
      </w:r>
    </w:p>
    <w:p>
      <w:pPr>
        <w:spacing w:after="0" w:line="112" w:lineRule="exact"/>
        <w:rPr>
          <w:sz w:val="20"/>
          <w:szCs w:val="20"/>
          <w:color w:val="auto"/>
        </w:rPr>
      </w:pPr>
    </w:p>
    <w:p>
      <w:pPr>
        <w:ind w:right="60" w:firstLine="439"/>
        <w:spacing w:after="0" w:line="266" w:lineRule="auto"/>
        <w:rPr>
          <w:sz w:val="20"/>
          <w:szCs w:val="20"/>
          <w:color w:val="auto"/>
        </w:rPr>
      </w:pPr>
      <w:r>
        <w:rPr>
          <w:rFonts w:ascii="Arial" w:cs="Arial" w:eastAsia="Arial" w:hAnsi="Arial"/>
          <w:sz w:val="17"/>
          <w:szCs w:val="17"/>
          <w:color w:val="auto"/>
        </w:rPr>
        <w:t>We have conducted Phase 1 healthy volunteer studies of vormatrigine to evaluate the tolerability, PK, PD and food effect of vormatrigine across single and multiple ascending dose cohorts and first announced topline results in the second quarter of 2023. This first clinical study of vormatrigine was a randomized, double-blind, placebo -controlled single ascending dose, or SAD, and multiple ascending dose, or MAD, trial in healthy participants aged 18 to 55 years. Vormatrigine was generally well-tolerated at all tested doses. PK data demonstrated dose-dependent exposure, supporting once-daily dosing without titration to achieve potentially therapeutically effective drug concentration levels. No adverse events, or AEs, or AEs of special interest led to study drug withdrawal, and no clinically significant findings on vital signs, electrocardiogram or neurological examination were observed. All AEs were mild, mostly transient (lasting minutes to hours), and resolved spontaneously, with the most common AEs being CNS-related. Results from an additional 45 mg MAD cohort showed a dose proportional increase in exposure with favorable tolerability, similar to the 20 and 30 mg MAD cohorts. In addition, a Phase 1 food effect study demonstrated that food intake did not affect vormatrigine absorption, which increases the flexibility in dosing and ease of use of vormatrigine.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Epilepsies (FOS and Generalized Epilepsy)</w:t>
      </w:r>
    </w:p>
    <w:p>
      <w:pPr>
        <w:spacing w:after="0" w:line="112"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An estimated 3.5 million people in the United States suffer from common epilepsies, with FOS being the most common type of epilepsy, accounting for approximately 60% of all cases. FOS are characterized by seizures that originate in one side or area of the brain and affects one side of the body. Sodium channel therapy is the cornerstone of treatment for patients with epilepsy yet currently approved drugs have significant safety and efficacy limitations. Despite the plethora of marketed treatments, including sodium channel targeting antiepileptic drugs, or AEDs, such as Tegretol (carbamazepine), Lamictal (lamotrigine), Xcopri (cenobamate), at least 30% of patients remain refractory to treatment.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40" w:firstLine="439"/>
        <w:spacing w:after="0" w:line="254" w:lineRule="auto"/>
        <w:rPr>
          <w:sz w:val="20"/>
          <w:szCs w:val="20"/>
          <w:color w:val="auto"/>
        </w:rPr>
      </w:pPr>
      <w:r>
        <w:rPr>
          <w:rFonts w:ascii="Arial" w:cs="Arial" w:eastAsia="Arial" w:hAnsi="Arial"/>
          <w:sz w:val="18"/>
          <w:szCs w:val="18"/>
          <w:color w:val="auto"/>
        </w:rPr>
        <w:t>There are two forms of therapeutically relevant sodium current: (1) persistent sodium current and (2) peak sodium current. Standard of care sodium channel targeting AEDs can produce severe toxicity at therapeutic doses from excessive inhibition of peak sodium current, as physiological levels of peak sodium current are required for normal neuronal function. Therefore, novel compounds, such as vormatrigine and relutrigine, that inhibit persistent and peak sodium channel hyperexcitability while sparing physiological levels of peak sodium current may improve clinical efficacy and tolerability.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Elsunersen for SCN2A-DEE</w:t>
      </w:r>
    </w:p>
    <w:p>
      <w:pPr>
        <w:spacing w:after="0" w:line="114"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Elsunersen is a clinical-stage ASO designed to selectively decrease SCN2A gene expression, directly targeting the underlying cause of early seizure-onset SCN2A-DEE to treat seizures and other symptoms in patients with gain-of-function SCN2A mutations. In vitro studies of elsunersen have demonstrated reduction in both SCN2A gene expression and protein levels. In vivo, elsunersen has demonstrated significant, dose-dependent reduction in seizures, improvement in behavioral and locomotor activity and increased survival in SCN2A mouse models, with potential to be the first disease-modifying treatment for SCN2A-DEE. Elsunersen has received ODD and RPDD from the FDA, and ODD and PRIority MEdicines, or PRIME, designations from the European Medicines Agency for the treatment of SCN2A-DEE.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EMBRAVE study</w:t>
      </w:r>
    </w:p>
    <w:p>
      <w:pPr>
        <w:spacing w:after="0" w:line="112" w:lineRule="exact"/>
        <w:rPr>
          <w:sz w:val="20"/>
          <w:szCs w:val="20"/>
          <w:color w:val="auto"/>
        </w:rPr>
      </w:pPr>
    </w:p>
    <w:p>
      <w:pPr>
        <w:ind w:right="380" w:firstLine="439"/>
        <w:spacing w:after="0" w:line="261" w:lineRule="auto"/>
        <w:rPr>
          <w:sz w:val="20"/>
          <w:szCs w:val="20"/>
          <w:color w:val="auto"/>
        </w:rPr>
      </w:pPr>
      <w:r>
        <w:rPr>
          <w:rFonts w:ascii="Arial" w:cs="Arial" w:eastAsia="Arial" w:hAnsi="Arial"/>
          <w:sz w:val="18"/>
          <w:szCs w:val="18"/>
          <w:color w:val="auto"/>
        </w:rPr>
        <w:t>Part 1 of the EMBRAVE study was a 21-week open label cohort, in which participants received elsunersen for 16 weeks, designed to determine the safety and tolerability of intrathecal delivery of elsunersen. No treatment related AEs or SAEs were observed. Additionally, patients observed a marked reduction in seizures and increase in seizure-free days.</w:t>
      </w:r>
    </w:p>
    <w:p>
      <w:pPr>
        <w:spacing w:after="0" w:line="177"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The EMBRAVE Study Part A is evaluating the safety and efficacy of elsunersen versus sham-procedure. We have enrolled 9 patients randomized 3:1 to elsunersen or placebo/sham for 20 weeks, followed by a blinded transition to elsunersen for up to two years in an open-label extension. We expect to disclose the topline results in the first half of 2026.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EMBRAVE3 Phase 3 study</w:t>
      </w:r>
    </w:p>
    <w:p>
      <w:pPr>
        <w:spacing w:after="0" w:line="112" w:lineRule="exact"/>
        <w:rPr>
          <w:sz w:val="20"/>
          <w:szCs w:val="20"/>
          <w:color w:val="auto"/>
        </w:rPr>
      </w:pPr>
    </w:p>
    <w:p>
      <w:pPr>
        <w:ind w:right="20" w:firstLine="439"/>
        <w:spacing w:after="0" w:line="250" w:lineRule="auto"/>
        <w:rPr>
          <w:sz w:val="20"/>
          <w:szCs w:val="20"/>
          <w:color w:val="auto"/>
        </w:rPr>
      </w:pPr>
      <w:r>
        <w:rPr>
          <w:rFonts w:ascii="Arial" w:cs="Arial" w:eastAsia="Arial" w:hAnsi="Arial"/>
          <w:sz w:val="18"/>
          <w:szCs w:val="18"/>
          <w:color w:val="auto"/>
        </w:rPr>
        <w:t>We have initiated EMBRAVE3, a Phase 3 registrational study evaluating the efficacy, safety, tolerability and PK of elsunersen in early-onset SCN2A-DEE, and expect to announce topline results in 2027. EMBRAVE3 is a single-arm study where all patients will receive elsunersen for 24 weeks. This study consists of three cohorts and will enroll approximately 30 patients. Cohort 1 will enroll patients between 2 and 18 years of age experiencing at least four motor seizures during a four-week baseline period. The primary endpoint will assess the change in seizure frequency. Patients will receive 1 mg of elsunersen intrathecally every 4 weeks for 24 weeks. Cohorts 2 and 3 will enroll patients from age 0 to 2 years in a staggered fashion, starting with patients ages 1-2 in Cohort 2 following a safety review of a subset of patients from Cohort 1. Cohort 3 patients (ages 0-1 years) will be enrolled following a safety review of a subset of the Cohort 2 patients. Patients will receive elsunersen at starting doses of 1.0 mg for Cohort 2, and 0.5 mg for Cohort 3, every 4 weeks for 24 weeks. All patients will have the option to continue into an open-label extension for an additional 24 weeks.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4" w:lineRule="exact"/>
        <w:rPr>
          <w:sz w:val="20"/>
          <w:szCs w:val="20"/>
          <w:color w:val="auto"/>
        </w:rPr>
      </w:pPr>
    </w:p>
    <w:p>
      <w:pPr>
        <w:ind w:right="120" w:firstLine="439"/>
        <w:spacing w:after="0" w:line="250" w:lineRule="auto"/>
        <w:rPr>
          <w:sz w:val="20"/>
          <w:szCs w:val="20"/>
          <w:color w:val="auto"/>
        </w:rPr>
      </w:pPr>
      <w:r>
        <w:rPr>
          <w:rFonts w:ascii="Arial" w:cs="Arial" w:eastAsia="Arial" w:hAnsi="Arial"/>
          <w:sz w:val="18"/>
          <w:szCs w:val="18"/>
          <w:color w:val="auto"/>
        </w:rPr>
        <w:t>The biopharmaceutical industry is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 and small pharmaceutical and biotechnology companies, academic research institutions, governmental agencies and public and private institutions. Additionally, we may face potential challenges in the adoption or acceptance of our product candidates, if approved, by prescribers due to the unfamiliarity of new treatments for previously untreated conditions or conditions where new treatments have not been developed for an extended period of time, such as ET, or unfamiliarity with utilizing new mechanisms such as the precision approach for sodium channel modulation utilized by relutrigine and vormatrigine. We believe continuing to develop medicines that significantly advance the standard of care for patients is the optimal strategy to differentiate us from competitors.</w:t>
      </w:r>
    </w:p>
    <w:p>
      <w:pPr>
        <w:spacing w:after="0" w:line="189" w:lineRule="exact"/>
        <w:rPr>
          <w:sz w:val="20"/>
          <w:szCs w:val="20"/>
          <w:color w:val="auto"/>
        </w:rPr>
      </w:pPr>
    </w:p>
    <w:p>
      <w:pPr>
        <w:ind w:right="680" w:firstLine="439"/>
        <w:spacing w:after="0" w:line="261" w:lineRule="auto"/>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convenience, cost, effectiveness of</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promotional support and intellectual property protection of our products. Our competitors fall primarily into the following groups of treatment:</w:t>
      </w:r>
    </w:p>
    <w:p>
      <w:pPr>
        <w:spacing w:after="0" w:line="166" w:lineRule="exact"/>
        <w:rPr>
          <w:sz w:val="20"/>
          <w:szCs w:val="20"/>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Approved therapies for ET, such as propranolol, and off-label therapies, such as primidone.</w:t>
      </w:r>
    </w:p>
    <w:p>
      <w:pPr>
        <w:spacing w:after="0" w:line="165" w:lineRule="exact"/>
        <w:rPr>
          <w:rFonts w:ascii="Arial" w:cs="Arial" w:eastAsia="Arial" w:hAnsi="Arial"/>
          <w:sz w:val="18"/>
          <w:szCs w:val="18"/>
          <w:color w:val="auto"/>
        </w:rPr>
      </w:pPr>
    </w:p>
    <w:p>
      <w:pPr>
        <w:ind w:left="640" w:right="280" w:hanging="314"/>
        <w:spacing w:after="0" w:line="25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Sodium channel blocker or similar ion channel-targeting programs in development for common epilepsies, including those of SK-Pharma, Xenon Pharmaceuticals, and Biohaven Pharmaceuticals, as well as other programs in clinical development targeting other mechanisms of action including those from Lundbeck and Stoke Therapeutics, and approved therapies including other existing ion channel blockers.</w:t>
      </w:r>
    </w:p>
    <w:p>
      <w:pPr>
        <w:spacing w:after="0" w:line="182" w:lineRule="exact"/>
        <w:rPr>
          <w:sz w:val="20"/>
          <w:szCs w:val="20"/>
          <w:color w:val="auto"/>
        </w:rPr>
      </w:pPr>
    </w:p>
    <w:p>
      <w:pPr>
        <w:ind w:right="100" w:firstLine="439"/>
        <w:spacing w:after="0" w:line="284" w:lineRule="auto"/>
        <w:rPr>
          <w:sz w:val="20"/>
          <w:szCs w:val="20"/>
          <w:color w:val="auto"/>
        </w:rPr>
      </w:pPr>
      <w:r>
        <w:rPr>
          <w:rFonts w:ascii="Arial" w:cs="Arial" w:eastAsia="Arial" w:hAnsi="Arial"/>
          <w:sz w:val="17"/>
          <w:szCs w:val="17"/>
          <w:color w:val="auto"/>
        </w:rPr>
        <w:t>Many of our competitors have sufficient financial resources, expertise and capabilities in research and development, the regulatory approval process, manufacturing and marketing to advance their portfolios. Smaller or early-stage companies may also prove to be significant competitors, particularly through merger and acquisition activity and sizeable collaborative arrangements with established companies.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4"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trademarks, copyrights and trade secrets relating to our proprietary technology platform and on know-how, continuing technological innovation and in-licensing opportunities to develop, strengthen and maintain our proprietary position in the field of neuroscience that may be important for the development of our business. We additionally may rely on regulatory and other protections afforded through data exclusivity, market exclusivity and patent term extensions, where available.</w:t>
      </w:r>
    </w:p>
    <w:p>
      <w:pPr>
        <w:spacing w:after="0" w:line="187"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Patent expiration dates noted in the following paragraphs refer to statutory expiration dates and do not take into account any potential patent term adjustment or extension that may be available. Depending upon the timing, duration and specifics of FDA approval of our drug product candidates, some of our United States, or U.S., patents may be eligible for limited patent term extension. These patent term extensions permit a patent restoration term of up to five years as compensation for any patent term lost during product development and the FDA regulatory review process. However, patent term restoration cannot extend the remaining term of a patent beyond a total of 14 years from the drug product’s approval date. The patent term restoration period is generally one-half the time between the effective date of an IND and the submission date of a NDA, plus the time between the submission date of an NDA and the approval of that application. Only one patent applicable to an approved drug is eligible for the extension and the extension must be applied for prior to expiration of the patent. The United States Patent and Trademark Office, or the USPTO, in consultation with the FDA, reviews and approves the application for any patent term extension or restoration.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T-type Calcium channel blockers</w:t>
      </w:r>
    </w:p>
    <w:p>
      <w:pPr>
        <w:spacing w:after="0" w:line="114" w:lineRule="exact"/>
        <w:rPr>
          <w:sz w:val="20"/>
          <w:szCs w:val="20"/>
          <w:color w:val="auto"/>
        </w:rPr>
      </w:pPr>
    </w:p>
    <w:p>
      <w:pPr>
        <w:ind w:firstLine="439"/>
        <w:spacing w:after="0" w:line="265" w:lineRule="auto"/>
        <w:rPr>
          <w:sz w:val="20"/>
          <w:szCs w:val="20"/>
          <w:color w:val="auto"/>
        </w:rPr>
      </w:pPr>
      <w:r>
        <w:rPr>
          <w:rFonts w:ascii="Arial" w:cs="Arial" w:eastAsia="Arial" w:hAnsi="Arial"/>
          <w:sz w:val="17"/>
          <w:szCs w:val="17"/>
          <w:color w:val="auto"/>
        </w:rPr>
        <w:t>We own sixteen patent families directed to T-type Calcium channel blockers. One patent family discloses and claims compositions of matter of certain T-type calcium channel modulators, including ulixacaltamide. This patent family has issued in many major pharmaceutical markets and is pending in others and expires in 2029. A second patent family is directed to certain pharmaceutical formulations of ulixacaltamide and methods of use in treating disorders such as essential tremor. Three U.S. patents have issued in this patent family, and expire in 2040, and this family remains pending in multiple jurisdictions of potential commercial interest. A third family is directed to titration methods of using ulixacaltamide and expires in 2041. A fourth patent family is directed to certain analog compounds of ulixacaltamide and expires in 2040. A fifth patent family is directed to the adjunctive use of a beta blocker and/or certain anticonvulsants with ulixacaltamide and expires in 2043. A sixth patent family is directed to a dosage form of ulixacaltamide and expires in 2044. A seventh patent family is directed to salt forms of ulixacaltamide and expires in 2044. An eighth patent family is directed to crystalline forms of ulixacaltamide and expires in 2044. A ninth patent family is directed to methods of treatment using ulixacaltamide and expires in 2044. A tenth patent family is directed to methods of treatment using ulixacaltamide and expires in 2044. An eleventh family is directed to methods of treatment using ulixacaltamide and expires in</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2045. A twelfth family is directed to methods of treating Parkinson’s disease with ulixacaltamide and expires in 2045. The remaining patent families are directed to other TTCC blockers of various core structures and methods of use in treating diseases such as movement disorders, which expire in 2039 and 2040.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Persistent sodium current blockers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We own sixteen patent families directed to persistent sodium current blockers, including a patent family that relates to relutrigine and vormatrigine, two additional patent families that relate to relutrigine, and the remaining patent families relate to other persistent sodium current blockers. One patent family discloses and claims certain persistent sodium current blockers, including relutrigine and vormatrigine, and methods of use in treating diseases such as epilepsy (including pediatric epilepsy), as well as migraine and pain. In this patent family, relutrigine is covered by two patents that have granted in the United States, one that covers the composition of matter and one that covers a method of use. These patents both expire in 2039. The family also has patents and pending patent applications that cover relutrigine in other potentially commercially relevant jurisdictions, which expire in 2039. In this same patent family, vormatrigine is covered by two granted U.S. patents that will expire in 2039. A second family discloses other persistent sodium current blockers and generically claims relutrigine, as well as methods of treating diseases such as pediatric epilepsy. This patent family is pending in multiple jurisdictions and expires in 2037. A third family is directed to pharmaceutical formulations of relutrigine, methods of use in treating diseases such as pediatric epilepsy, cephalgia, short-lasting unilateral neuralgiform headache attacks with conjunctival injection, or SUNCT, and tearing and short-lasting unilateral neuralgiform headache attacks with cranial autonomic symptoms, or SUNA, and methods of making relutrigine, and expires in 2040. The remaining patent families are directed to other persistent sodium current blockers of various core structures and methods of use in treating diseases such as pediatric epilepsy, expiring between 2037 and 2043.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SCN2A downregulation</w:t>
      </w:r>
    </w:p>
    <w:p>
      <w:pPr>
        <w:spacing w:after="0" w:line="114" w:lineRule="exact"/>
        <w:rPr>
          <w:sz w:val="20"/>
          <w:szCs w:val="20"/>
          <w:color w:val="auto"/>
        </w:rPr>
      </w:pPr>
    </w:p>
    <w:p>
      <w:pPr>
        <w:ind w:right="360" w:firstLine="439"/>
        <w:spacing w:after="0" w:line="256" w:lineRule="auto"/>
        <w:rPr>
          <w:sz w:val="20"/>
          <w:szCs w:val="20"/>
          <w:color w:val="auto"/>
        </w:rPr>
      </w:pPr>
      <w:r>
        <w:rPr>
          <w:rFonts w:ascii="Arial" w:cs="Arial" w:eastAsia="Arial" w:hAnsi="Arial"/>
          <w:sz w:val="18"/>
          <w:szCs w:val="18"/>
          <w:color w:val="auto"/>
        </w:rPr>
        <w:t>We have exclusively in-licensed three patent families directed to our SCN2A program. Two of these patent families are owned by RogCon, Inc., and disclose and claim certain ASOs targeting SCN2A and methods of use in treating diseases such as epilepsy, including epilepsy having certain SCN2A mutations. One patent family is pending in the United States and expires in 2038. A second patent family is directed to methods of treating SCN1A encephalopathy using ASOs targeting SCN2A and expires in 2039.</w:t>
      </w:r>
    </w:p>
    <w:p>
      <w:pPr>
        <w:spacing w:after="0" w:line="182" w:lineRule="exact"/>
        <w:rPr>
          <w:sz w:val="20"/>
          <w:szCs w:val="20"/>
          <w:color w:val="auto"/>
        </w:rPr>
      </w:pPr>
    </w:p>
    <w:p>
      <w:pPr>
        <w:ind w:right="100" w:firstLine="439"/>
        <w:spacing w:after="0" w:line="276" w:lineRule="auto"/>
        <w:rPr>
          <w:sz w:val="20"/>
          <w:szCs w:val="20"/>
          <w:color w:val="auto"/>
        </w:rPr>
      </w:pPr>
      <w:r>
        <w:rPr>
          <w:rFonts w:ascii="Arial" w:cs="Arial" w:eastAsia="Arial" w:hAnsi="Arial"/>
          <w:sz w:val="18"/>
          <w:szCs w:val="18"/>
          <w:color w:val="auto"/>
        </w:rPr>
        <w:t>The other in-licensed patent family is owned by Ionis Pharmaceuticals, Inc., and is directed to compositions of matter of elsunersen. This family expires in 2041 and one U.S. patent has issued in this family.</w:t>
      </w:r>
    </w:p>
    <w:p>
      <w:pPr>
        <w:spacing w:after="0" w:line="163" w:lineRule="exact"/>
        <w:rPr>
          <w:sz w:val="20"/>
          <w:szCs w:val="20"/>
          <w:color w:val="auto"/>
        </w:rPr>
      </w:pPr>
    </w:p>
    <w:p>
      <w:pPr>
        <w:ind w:right="120" w:firstLine="439"/>
        <w:spacing w:after="0" w:line="271" w:lineRule="auto"/>
        <w:rPr>
          <w:sz w:val="20"/>
          <w:szCs w:val="20"/>
          <w:color w:val="auto"/>
        </w:rPr>
      </w:pPr>
      <w:r>
        <w:rPr>
          <w:rFonts w:ascii="Arial" w:cs="Arial" w:eastAsia="Arial" w:hAnsi="Arial"/>
          <w:sz w:val="17"/>
          <w:szCs w:val="17"/>
          <w:color w:val="auto"/>
        </w:rPr>
        <w:t>We own seven patent families directed to our elsunersen program. The first has claims directed to a method of treating SCN2A gain of function neurological diseases using certain ASOs. This patent family is pending in the United States and expires in 2041. The second is directed to methods of treating SCN2A-related disorders using SCN2A inhibitors and expires in 2043. The third is directed to methods of treating SCN2A-related disorders using SCN2A inhibitors and expires in 2044. The fourth is directed to compositions and methods for treating SCN2A disorders and expires in 2039. The fifth is directed to methods for detecting if a subject with an SCN2A disorder has a gain of function</w:t>
      </w:r>
    </w:p>
    <w:p>
      <w:pPr>
        <w:spacing w:after="0" w:line="1"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mutation and expires in 2039. The sixth is directed to oligonucleotides targeting SCN2A retained introns and expires in 2039. The seventh is directed to compositions and methods for treating disorders associated with loss-of-function mutations in SCN2A and expires in 2041.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KCNT1 blockers</w:t>
      </w:r>
    </w:p>
    <w:p>
      <w:pPr>
        <w:spacing w:after="0" w:line="114" w:lineRule="exact"/>
        <w:rPr>
          <w:sz w:val="20"/>
          <w:szCs w:val="20"/>
          <w:color w:val="auto"/>
        </w:rPr>
      </w:pPr>
    </w:p>
    <w:p>
      <w:pPr>
        <w:jc w:val="both"/>
        <w:ind w:firstLine="439"/>
        <w:spacing w:after="0" w:line="307" w:lineRule="auto"/>
        <w:rPr>
          <w:sz w:val="20"/>
          <w:szCs w:val="20"/>
          <w:color w:val="auto"/>
        </w:rPr>
      </w:pPr>
      <w:r>
        <w:rPr>
          <w:rFonts w:ascii="Arial" w:cs="Arial" w:eastAsia="Arial" w:hAnsi="Arial"/>
          <w:sz w:val="17"/>
          <w:szCs w:val="17"/>
          <w:color w:val="auto"/>
        </w:rPr>
        <w:t>We own twelve patent families directed to KCNT1 blockers. These patent families disclose and claim small molecule KCNT1 blockers and methods of use in treating diseases, such as epilepsy, including epilepsy having certain KCNT1 mutations, and expire between 2040 and 2045.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GABA</w:t>
      </w:r>
      <w:r>
        <w:rPr>
          <w:rFonts w:ascii="Arial" w:cs="Arial" w:eastAsia="Arial" w:hAnsi="Arial"/>
          <w:sz w:val="15"/>
          <w:szCs w:val="15"/>
          <w:b w:val="1"/>
          <w:bCs w:val="1"/>
          <w:color w:val="auto"/>
        </w:rPr>
        <w:t>A</w:t>
      </w:r>
      <w:r>
        <w:rPr>
          <w:rFonts w:ascii="Arial" w:cs="Arial" w:eastAsia="Arial" w:hAnsi="Arial"/>
          <w:sz w:val="18"/>
          <w:szCs w:val="18"/>
          <w:b w:val="1"/>
          <w:bCs w:val="1"/>
          <w:color w:val="auto"/>
        </w:rPr>
        <w:t xml:space="preserve"> receptor positive allosteric modulators</w:t>
      </w:r>
    </w:p>
    <w:p>
      <w:pPr>
        <w:spacing w:after="0" w:line="114" w:lineRule="exact"/>
        <w:rPr>
          <w:sz w:val="20"/>
          <w:szCs w:val="20"/>
          <w:color w:val="auto"/>
        </w:rPr>
      </w:pPr>
    </w:p>
    <w:p>
      <w:pPr>
        <w:ind w:right="140" w:firstLine="439"/>
        <w:spacing w:after="0" w:line="254" w:lineRule="auto"/>
        <w:rPr>
          <w:sz w:val="20"/>
          <w:szCs w:val="20"/>
          <w:color w:val="auto"/>
        </w:rPr>
      </w:pPr>
      <w:r>
        <w:rPr>
          <w:rFonts w:ascii="Arial" w:cs="Arial" w:eastAsia="Arial" w:hAnsi="Arial"/>
          <w:sz w:val="18"/>
          <w:szCs w:val="18"/>
          <w:color w:val="auto"/>
        </w:rPr>
        <w:t>We own four patent families directed to GABA</w:t>
      </w:r>
      <w:r>
        <w:rPr>
          <w:rFonts w:ascii="Arial" w:cs="Arial" w:eastAsia="Arial" w:hAnsi="Arial"/>
          <w:sz w:val="15"/>
          <w:szCs w:val="15"/>
          <w:color w:val="auto"/>
        </w:rPr>
        <w:t>A</w:t>
      </w:r>
      <w:r>
        <w:rPr>
          <w:rFonts w:ascii="Arial" w:cs="Arial" w:eastAsia="Arial" w:hAnsi="Arial"/>
          <w:sz w:val="18"/>
          <w:szCs w:val="18"/>
          <w:color w:val="auto"/>
        </w:rPr>
        <w:t xml:space="preserve"> receptor positive allosteric modulators. One patent family discloses and claims salts and polymorphs of PRAX-114. Three patents are granted in the United States, which expire in 2039. A second patent family is directed to alternative salt forms of PRAX-114, and a U.S. patent has issued, which expires in 2042. Other patent applications cover methods of use in treating diseases (including the use of combination formulations), such as epilepsy, musculoskeletal conditions, motor disorder or essential tremor, which expire from 2042 to 2043.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PCDH19</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own one patent family directed to compositions and methods for the treatment of PCDH19 related disorders, which expires in 2042.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SYNGAP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439"/>
        <w:spacing w:after="0" w:line="276" w:lineRule="auto"/>
        <w:rPr>
          <w:sz w:val="20"/>
          <w:szCs w:val="20"/>
          <w:color w:val="auto"/>
        </w:rPr>
      </w:pPr>
      <w:r>
        <w:rPr>
          <w:rFonts w:ascii="Arial" w:cs="Arial" w:eastAsia="Arial" w:hAnsi="Arial"/>
          <w:sz w:val="18"/>
          <w:szCs w:val="18"/>
          <w:color w:val="auto"/>
        </w:rPr>
        <w:t>We own one patent family directed to compositions and methods for the treatment of disorders associated with loss-of-function mutations in SYNGAP1, which expires in 2041.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RogCon</w:t>
      </w:r>
    </w:p>
    <w:p>
      <w:pPr>
        <w:spacing w:after="0" w:line="114"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In September 2019, we and RogCon, Inc., or RogCon, entered into a Cooperation and License Agreement, or the RogCon Agreement, to collaborate to develop ASOs for the treatment of epilepsy caused by mutations of the SCN2A gene. RogCon had an existing collaboration arrangement with Ionis Pharmaceuticals, Inc., or Ionis, and as a result, we and Ionis negotiated a Research Collaboration, Option and License Agreement, or the Ionis Agreement, (described below) in order to complete the license agreement with RogCon. Under the RogCon Agreement, RogCon granted us, subject to a concurrent license grant of certain rights to Ionis, an exclusive, worldwide license under RogCon’s intellectual property to research, develop and commercialize products for the treatment of all forms of epilepsy and/or neurodevelopmental disorders in each case caused by any mutation of the SCN2A gene. Under the RogCon Agreement, we will conduct, at our own cost and expense, the research and development activities assigned to us under the research plan set out in the Research Collaboration, Option and License Agreement with Ionis. Under the terms of the RogCon Agreement, RogCon is eligible to receive a one-time milestone payment of $3.0 million as well as profit share payments as a percentage of net profits in the mid -teens. Profit share payments will be calculated and due quarterly on any net profits generated from a product commercialized under the RogCon Agreement. The $3.0 million milestone payment will become due when (i) the first profit share payment has become due and payable and (ii) the Additional Milestone, the Initial Interest Amount and the Second Interest Amount (each as defined within the Ionis Agreement as described below) have all become due and payable to Ionis under our collaboration agreement with Ionis. As part of the RogCon Agreement, we agreed to provide up-front consideration of $2.1 million, consisting of a $1.0 million deposit, $0.7 million in cash reimbursements for certain historical costs previously incurred by RogCon and $0.4 million for the retirement of existing loan balances as of September 11, 2019.</w:t>
      </w:r>
    </w:p>
    <w:p>
      <w:pPr>
        <w:spacing w:after="0" w:line="199" w:lineRule="exact"/>
        <w:rPr>
          <w:sz w:val="20"/>
          <w:szCs w:val="20"/>
          <w:color w:val="auto"/>
        </w:rPr>
      </w:pPr>
    </w:p>
    <w:p>
      <w:pPr>
        <w:ind w:right="80" w:firstLine="439"/>
        <w:spacing w:after="0" w:line="261" w:lineRule="auto"/>
        <w:rPr>
          <w:sz w:val="20"/>
          <w:szCs w:val="20"/>
          <w:color w:val="auto"/>
        </w:rPr>
      </w:pPr>
      <w:r>
        <w:rPr>
          <w:rFonts w:ascii="Arial" w:cs="Arial" w:eastAsia="Arial" w:hAnsi="Arial"/>
          <w:sz w:val="18"/>
          <w:szCs w:val="18"/>
          <w:color w:val="auto"/>
        </w:rPr>
        <w:t>Subsequent to September 11, 2019, we will reimburse RogCon for its out-of-pocket costs incurred for activities performed under the RogCon Agreement. We expense these costs as incurred as research and development. Expenses incurred for all periods presented were not material.</w:t>
      </w:r>
    </w:p>
    <w:p>
      <w:pPr>
        <w:spacing w:after="0" w:line="177"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Additionally, RogCon has agreed to certain defined exclusivity obligations. The RogCon Agreement, unless earlier terminated, will continue until the latest of: (i) the expiration of all patent rights within RogCon patents, (ii) we certify we have abandoned the research, development and commercialization of product with no intention to re-establish such activities and (iii) no third party is obligated to pay any amounts that comprise net sublicense revenue. Either party may terminate the RogCon Agreement for material breach or insolvency of the other party. Additionally, we may terminate for convenience with prior written notice to RogCon. Upon termination by either party, all rights and licenses granted by RogCon to us will revert back to RogCon.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Ionis Collaboration Agreement</w:t>
      </w:r>
    </w:p>
    <w:p>
      <w:pPr>
        <w:spacing w:after="0" w:line="114" w:lineRule="exact"/>
        <w:rPr>
          <w:sz w:val="20"/>
          <w:szCs w:val="20"/>
          <w:color w:val="auto"/>
        </w:rPr>
      </w:pPr>
    </w:p>
    <w:p>
      <w:pPr>
        <w:ind w:right="40" w:firstLine="439"/>
        <w:spacing w:after="0" w:line="250" w:lineRule="auto"/>
        <w:rPr>
          <w:sz w:val="20"/>
          <w:szCs w:val="20"/>
          <w:color w:val="auto"/>
        </w:rPr>
      </w:pPr>
      <w:r>
        <w:rPr>
          <w:rFonts w:ascii="Arial" w:cs="Arial" w:eastAsia="Arial" w:hAnsi="Arial"/>
          <w:sz w:val="18"/>
          <w:szCs w:val="18"/>
          <w:color w:val="auto"/>
        </w:rPr>
        <w:t>In September 2019, we and Ionis entered into the Ionis Agreement to discover and develop ASOs to treat forms of epilepsy caused by mutations of the SCN2A gene. Pursuant to the Ionis Agreement, we and Ionis each conducted certain research activities and Ionis was responsible for identifying a development candidate and conducting an IND-enabling toxicology study. The design of the IND-enabling toxicology study was prepared and mutually agreed to by us and Ionis. We are obligated to reimburse any out-of-pocket costs incurred by Ionis related to research activities, identification of a development candidate and conducting IND-enabling studies. Ionis granted us an exclusive option to obtain the rights and license to further develop and commercialize a development candidate in the field of epilepsy and neurodevelopmental disorders, other than Dravet Syndrome, following the results of the IND-enabling toxicology study. We exercised this exclusive option in January 2022 and paid a $2.0 million license fee. Ionis is eligible to receive certain contingent payments from us relating to development and other milestones, interest payments, royalties as a percentage of net product sales worldwide in the low-20s and any potential sublicense fees calculated as a percentage of sublicense revenue using a rate in the low-to-mid double digits.</w:t>
      </w:r>
    </w:p>
    <w:p>
      <w:pPr>
        <w:spacing w:after="0" w:line="187" w:lineRule="exact"/>
        <w:rPr>
          <w:sz w:val="20"/>
          <w:szCs w:val="20"/>
          <w:color w:val="auto"/>
        </w:rPr>
      </w:pPr>
    </w:p>
    <w:p>
      <w:pPr>
        <w:jc w:val="both"/>
        <w:ind w:right="100" w:firstLine="439"/>
        <w:spacing w:after="0" w:line="256" w:lineRule="auto"/>
        <w:rPr>
          <w:sz w:val="20"/>
          <w:szCs w:val="20"/>
          <w:color w:val="auto"/>
        </w:rPr>
      </w:pPr>
      <w:r>
        <w:rPr>
          <w:rFonts w:ascii="Arial" w:cs="Arial" w:eastAsia="Arial" w:hAnsi="Arial"/>
          <w:sz w:val="18"/>
          <w:szCs w:val="18"/>
          <w:color w:val="auto"/>
        </w:rPr>
        <w:t>Development milestones of $5.0 million for each product developed under the agreement are due upon the completion of the first clinical trial for each product, or the Development Milestone. Ionis will be entitled to receive an additional one-time milestone payment of $5.0 million, or the Additional Milestone, upon the earliest to occur of the following (each, a Payment Trigger): (i) the first acceptance of an NDA filing for a product by the regulatory authority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a major market, (ii) we have both (a) received, in the aggregate, $300.0 million in cash since September 11, 2019 and (b) initiated the first clinical study with respect to a product or (iii) the closing of a change of control event affecting Praxis. In addition, upon the occurrence of a Payment Trigger, Ionis is also entitled to certain interest payments equal to (i) 10% simple interest per annum calculated from the effective date of the agreement on the Additional Milestone, or the Initial Interest Amount, plus (ii) 10% simple interest per annum calculated from the date the Additional Milestone is paid on the initial Interest Amount, or the Second Interest Amount, until the earliest to occur of the following: (i) aggregate net sales of $100.0 million has been received, (ii) a change in control event affecting Praxis occurs or (iii) the Ionis Agreement has been terminated. Upon the occurrence of one of these three payment triggers, both the Initial Interest Amount and Second Interest Amount are due and payable to Ionis. In the second quarter of 2023, Ionis earned the Additional Milestone fee of $5.0 million, as well as the Initial Interest Amount of $1.9 million. The $6.9 million milestone fee was paid in July 2023.</w:t>
      </w:r>
    </w:p>
    <w:p>
      <w:pPr>
        <w:spacing w:after="0" w:line="189" w:lineRule="exact"/>
        <w:rPr>
          <w:sz w:val="20"/>
          <w:szCs w:val="20"/>
          <w:color w:val="auto"/>
        </w:rPr>
      </w:pPr>
    </w:p>
    <w:p>
      <w:pPr>
        <w:ind w:right="140" w:firstLine="439"/>
        <w:spacing w:after="0" w:line="254" w:lineRule="auto"/>
        <w:rPr>
          <w:sz w:val="20"/>
          <w:szCs w:val="20"/>
          <w:color w:val="auto"/>
        </w:rPr>
      </w:pPr>
      <w:r>
        <w:rPr>
          <w:rFonts w:ascii="Arial" w:cs="Arial" w:eastAsia="Arial" w:hAnsi="Arial"/>
          <w:sz w:val="18"/>
          <w:szCs w:val="18"/>
          <w:color w:val="auto"/>
        </w:rPr>
        <w:t>The Ionis Agreement will continue in full force and effect until the expiration of all payment obligations to Ionis, unless terminated earlier by either party. Either party may terminate the agreement upon material breach or insolvency of the other party. Praxis is able to terminate the Ionis Agreement for convenience with prior written notice. Ionis may terminate if we fail to achieve certain performance milestones. Upon termination by us for convenience, we will stop selling all products, subject to certain wind-down provisions and all products will revert back to Ionis.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4" w:lineRule="exact"/>
        <w:rPr>
          <w:sz w:val="20"/>
          <w:szCs w:val="20"/>
          <w:color w:val="auto"/>
        </w:rPr>
      </w:pPr>
    </w:p>
    <w:p>
      <w:pPr>
        <w:ind w:right="480" w:firstLine="439"/>
        <w:spacing w:after="0" w:line="276"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source all of our non-clinical and clinical compound supply through third-party contract development and manufacturing organizations, or CDMOs.</w:t>
      </w:r>
    </w:p>
    <w:p>
      <w:pPr>
        <w:spacing w:after="0" w:line="163"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For clinical supply, we rely on CDMOs to manufacture drug substance and drug product in accordance with the FDA’s current Good Manufacturing Practices, or cGMP. We expect to rely on third parties for our manufacturing processes and the production of all clinical supply drug substance and drug product and currently expect to continue to do so for commercial supplies of our product candidates, if approved. We use additional contract manufacturers to fill, label, package, store and distribute our investigational drug products and currently expect to continue to do so for commercial supplies of our product candidates, if approved. It is our intent to identify and qualify additional manufacturers to provide active pharmaceutical ingredient and fill-and-finish services prior to submission of a NDA to the FDA for any product candidates that complete clinical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4" w:lineRule="exact"/>
        <w:rPr>
          <w:sz w:val="20"/>
          <w:szCs w:val="20"/>
          <w:color w:val="auto"/>
        </w:rPr>
      </w:pPr>
    </w:p>
    <w:p>
      <w:pPr>
        <w:ind w:firstLine="439"/>
        <w:spacing w:after="0" w:line="270" w:lineRule="auto"/>
        <w:rPr>
          <w:sz w:val="20"/>
          <w:szCs w:val="20"/>
          <w:color w:val="auto"/>
        </w:rPr>
      </w:pPr>
      <w:r>
        <w:rPr>
          <w:rFonts w:ascii="Arial" w:cs="Arial" w:eastAsia="Arial" w:hAnsi="Arial"/>
          <w:sz w:val="17"/>
          <w:szCs w:val="17"/>
          <w:color w:val="auto"/>
        </w:rPr>
        <w:t>The FDA and comparable regulatory authorities in state and local jurisdictions and in other countries impose substantial and burdensome requirements upon companies involved in the clinical development, manufacture, marketing and distribution of prescription drugs, such as those we are developing. These agencies regulate, among other things, the research and development, testing, manufacture, quality control, safety, effectiveness, labeling, storage, record keeping, approval, advertising and promotion, distribution, post-approval monitoring and reporting, sampling and export and import of drug products. The process of obtaining regulatory approvals and the subsequent compliance with applicable federal, state, local and foreign statutes and regulations requires the expenditure of substantial time and financial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regulation of drug products</w:t>
      </w:r>
    </w:p>
    <w:p>
      <w:pPr>
        <w:spacing w:after="0" w:line="114" w:lineRule="exact"/>
        <w:rPr>
          <w:sz w:val="20"/>
          <w:szCs w:val="20"/>
          <w:color w:val="auto"/>
        </w:rPr>
      </w:pPr>
    </w:p>
    <w:p>
      <w:pPr>
        <w:ind w:right="820" w:firstLine="439"/>
        <w:spacing w:after="0" w:line="307"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The process required by the FDA before a drug may be marketed in the United States generally involves the following:</w:t>
      </w:r>
    </w:p>
    <w:p>
      <w:pPr>
        <w:spacing w:after="0" w:line="86" w:lineRule="exact"/>
        <w:rPr>
          <w:sz w:val="20"/>
          <w:szCs w:val="20"/>
          <w:color w:val="auto"/>
        </w:rPr>
      </w:pPr>
    </w:p>
    <w:p>
      <w:pPr>
        <w:ind w:left="640" w:right="160" w:hanging="314"/>
        <w:spacing w:after="0" w:line="27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certain preclinical laboratory tests, animal studies and formulation studies in compliance with the FDA’s good laboratory practice regulations;</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65" w:lineRule="exact"/>
        <w:rPr>
          <w:rFonts w:ascii="Arial" w:cs="Arial" w:eastAsia="Arial" w:hAnsi="Arial"/>
          <w:sz w:val="18"/>
          <w:szCs w:val="18"/>
          <w:color w:val="auto"/>
        </w:rPr>
      </w:pPr>
    </w:p>
    <w:p>
      <w:pPr>
        <w:ind w:left="640" w:right="680" w:hanging="314"/>
        <w:spacing w:after="0" w:line="27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right="280" w:hanging="314"/>
        <w:spacing w:after="0" w:line="27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intended use;</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65" w:lineRule="exact"/>
        <w:rPr>
          <w:rFonts w:ascii="Arial" w:cs="Arial" w:eastAsia="Arial" w:hAnsi="Arial"/>
          <w:sz w:val="18"/>
          <w:szCs w:val="18"/>
          <w:color w:val="auto"/>
        </w:rPr>
      </w:pPr>
    </w:p>
    <w:p>
      <w:pPr>
        <w:jc w:val="both"/>
        <w:ind w:left="640" w:right="600" w:hanging="314"/>
        <w:spacing w:after="0" w:line="26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w:t>
      </w:r>
    </w:p>
    <w:p>
      <w:pPr>
        <w:spacing w:after="0" w:line="123" w:lineRule="exact"/>
        <w:rPr>
          <w:rFonts w:ascii="Arial" w:cs="Arial" w:eastAsia="Arial" w:hAnsi="Arial"/>
          <w:sz w:val="18"/>
          <w:szCs w:val="18"/>
          <w:color w:val="auto"/>
        </w:rPr>
      </w:pPr>
    </w:p>
    <w:p>
      <w:pPr>
        <w:ind w:left="640" w:right="400" w:hanging="314"/>
        <w:spacing w:after="0" w:line="27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potential FDA audits of clinical trial sites to assess compliance with GCPs and the integrity of the clinical data; and</w:t>
      </w:r>
    </w:p>
    <w:p>
      <w:pPr>
        <w:spacing w:after="0" w:line="109" w:lineRule="exact"/>
        <w:rPr>
          <w:rFonts w:ascii="Arial" w:cs="Arial" w:eastAsia="Arial" w:hAnsi="Arial"/>
          <w:sz w:val="18"/>
          <w:szCs w:val="18"/>
          <w:color w:val="auto"/>
        </w:rPr>
      </w:pPr>
    </w:p>
    <w:p>
      <w:pPr>
        <w:ind w:left="640" w:right="480" w:hanging="314"/>
        <w:spacing w:after="0" w:line="27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2" w:lineRule="exact"/>
        <w:rPr>
          <w:sz w:val="20"/>
          <w:szCs w:val="20"/>
          <w:color w:val="auto"/>
        </w:rPr>
      </w:pPr>
    </w:p>
    <w:p>
      <w:pPr>
        <w:ind w:firstLine="439"/>
        <w:spacing w:after="0" w:line="265" w:lineRule="auto"/>
        <w:rPr>
          <w:sz w:val="20"/>
          <w:szCs w:val="20"/>
          <w:color w:val="auto"/>
        </w:rPr>
      </w:pPr>
      <w:r>
        <w:rPr>
          <w:rFonts w:ascii="Arial" w:cs="Arial" w:eastAsia="Arial" w:hAnsi="Arial"/>
          <w:sz w:val="17"/>
          <w:szCs w:val="17"/>
          <w:color w:val="auto"/>
        </w:rPr>
        <w:t>Before testing any product candidate in humans, the product candidate must undergo preclinical testing. Preclinical studies generally include laboratory evaluation of product chemistry, formulation and stability, as well as animal studies to assess potential toxicity, which support subsequent clinical testing. An IND sponsor must submit the results of the preclinical tests, together with manufacturing information, analytical data and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Additionally, the FDA will review any data from clinical trials conducted outside the United States when determining whether to allow an IND to proceed in the United States. Specifically, the FDA’s acceptance of data from trials conducted outside of the United States and not under an IND is subject to certain conditions, including that the clinical trial must be conducted in accordance with GCPs, and the FDA must be able to validate the data from the study through an on-site inspection, if necessary. Clinical holds also may be imposed by the FDA at any time before or during studies due to safety concerns or non-compliance.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Clinical trials involve the administration of the product candidate to human subjects under the supervision of qualified investigators,</w:t>
      </w:r>
    </w:p>
    <w:p>
      <w:pPr>
        <w:spacing w:after="0" w:line="4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clinical trials and nonclinical studies, among other information, must be submitted at least annually to the FDA and written IND safety reports must be submitted to the FDA and investigators if serious and unexpected suspected adverse events occur, findings from other studies of the same or similar drug or from animal or in vitro testing suggest a significant risk, or there is an increased incidence of a serious suspected adverse reaction compared to that in the protocol or investigator brochure.</w:t>
      </w:r>
    </w:p>
    <w:p>
      <w:pPr>
        <w:spacing w:after="0" w:line="189"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grounds, such as no demonstration of efficacy. Similarly, the FDA or the sponsor may suspend or terminate a clinical trial at any time on various grounds, including a finding that the research subjects are being exposed to an unacceptable health risk. An IRB can also suspend or terminate approval of a clinical trial at its institution for a variety of reasons, including if the clinical trial is not being conducted in accordance with the IRB’s requirements or if the drug has been associated with unexpected serious harm to patients.</w:t>
      </w:r>
    </w:p>
    <w:p>
      <w:pPr>
        <w:spacing w:after="0" w:line="182"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There are also requirements governing the reporting of ongoing clinical studies and clinical study results to public registries. Specifically, information about certain clinical trials must be submitted within specific timeframes to the National Institutes of Health, or NIH, for public dissemination on their www.clinicaltrials.gov website. Information related to the product candidate,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w:t>
      </w:r>
    </w:p>
    <w:p>
      <w:pPr>
        <w:spacing w:after="0" w:line="187" w:lineRule="exact"/>
        <w:rPr>
          <w:sz w:val="20"/>
          <w:szCs w:val="20"/>
          <w:color w:val="auto"/>
        </w:rPr>
      </w:pPr>
    </w:p>
    <w:p>
      <w:pPr>
        <w:ind w:right="20" w:firstLine="439"/>
        <w:spacing w:after="0" w:line="268" w:lineRule="auto"/>
        <w:rPr>
          <w:sz w:val="20"/>
          <w:szCs w:val="20"/>
          <w:color w:val="auto"/>
        </w:rPr>
      </w:pPr>
      <w:r>
        <w:rPr>
          <w:rFonts w:ascii="Arial" w:cs="Arial" w:eastAsia="Arial" w:hAnsi="Arial"/>
          <w:sz w:val="17"/>
          <w:szCs w:val="17"/>
          <w:color w:val="auto"/>
        </w:rPr>
        <w:t>Human clinical trials are typically conducted in three phases, which may overlap or be combined. In Phase 1, the product candidate is introduced into healthy human subjects or patients with the target disease or condition to test for safety, dosage tolerance, absorption, metabolism, distribution, excretion and, if possible, to gain an early evaluation of effectiveness. In Phase 2, the product candidate is administered to a limited patient population with a specified disease or condition to evaluate possible adverse effects and safety risks, to preliminarily evaluate the efficacy of the product for the specified disease or condition, and to determine dosage tolerance and optimal dosage. In Phase 3, the product candidate is administered to an expanded patient population, generally at geographically dispersed clinical trial sites, in well-controlled clinical trials to generate enough data to provide substantial evidence of the efficacy and safety of the product candidate, to establish the overall risk-benefit profile of the product candidate, and to provide adequate information for the labeling of the product candidate.</w:t>
      </w:r>
    </w:p>
    <w:p>
      <w:pPr>
        <w:spacing w:after="0" w:line="171"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In some cases, the FDA may require, or sponsors may voluntarily pursue, additional clinical trials after a product is approved to gain more information about the product in the approved indication. These so -called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or requirement of approval of an NDA.</w:t>
      </w:r>
    </w:p>
    <w:p>
      <w:pPr>
        <w:spacing w:after="0" w:line="182" w:lineRule="exact"/>
        <w:rPr>
          <w:sz w:val="20"/>
          <w:szCs w:val="20"/>
          <w:color w:val="auto"/>
        </w:rPr>
      </w:pPr>
    </w:p>
    <w:p>
      <w:pPr>
        <w:ind w:right="80" w:firstLine="439"/>
        <w:spacing w:after="0" w:line="252" w:lineRule="auto"/>
        <w:rPr>
          <w:sz w:val="20"/>
          <w:szCs w:val="20"/>
          <w:color w:val="auto"/>
        </w:rPr>
      </w:pPr>
      <w:r>
        <w:rPr>
          <w:rFonts w:ascii="Arial" w:cs="Arial" w:eastAsia="Arial" w:hAnsi="Arial"/>
          <w:sz w:val="18"/>
          <w:szCs w:val="18"/>
          <w:color w:val="auto"/>
        </w:rPr>
        <w:t>Concurrent with clinical trials, companies usually complete additional animal studies and also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application submission and FDA review and approval</w:t>
      </w:r>
    </w:p>
    <w:p>
      <w:pPr>
        <w:spacing w:after="0" w:line="112"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color w:val="auto"/>
        </w:rPr>
        <w:t>Assuming successful completion of the required clinical testing, the results of preclinical and clinical studies, together with detailed information relating to the product’s chemistry, manufacture, controls and proposed labeling, among other things, are submitted to the FDA as part of an NDA requesting approval to market the product for one or more indications. The submission of an NDA is subject to a substantial application user fee, unless a waiver or exemption applies.</w:t>
      </w:r>
    </w:p>
    <w:p>
      <w:pPr>
        <w:spacing w:after="0" w:line="182"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withdrawn and resubmitted with the additional information. The resubmitted application is also subject to review before the FDA accepts it for filing. Once an application is accepted for filing, the FDA has a goal of ten months from the date of “filing” to complete a standard review of an NDA for a drug that is a new molecular entity, and six months from the filing date to complete a priority review. The FDA does not always meet its goal dates, and the review process can be extended for a three-month period by the FDA to review information deemed a "major amendment" to the application. This FDA review process typically takes 10 months from the date the NDA is accepted for filing by the FDA (for a standard review) or six months from the filing date (for a priority review). Once the submission is accepted for filing, the FDA begins an in-depth substantive review.</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The FDA reviews an NDA to determine, among other things, whether the drug is safe and effective and whether the facilities in which it is manufactured, processed, packaged or held meets standards designed to assure the product’s continued safety, quality and purity. Before approving an NDA, the FDA typically will inspect the facilities where the product is manufactured. Additionally, before approving an NDA, the FDA may inspect one or more clinical trial sites and/or the study sponsor to assure compliance with GCP requirements.</w:t>
      </w:r>
    </w:p>
    <w:p>
      <w:pPr>
        <w:spacing w:after="0" w:line="182" w:lineRule="exact"/>
        <w:rPr>
          <w:sz w:val="20"/>
          <w:szCs w:val="20"/>
          <w:color w:val="auto"/>
        </w:rPr>
      </w:pPr>
    </w:p>
    <w:p>
      <w:pPr>
        <w:ind w:right="220" w:firstLine="439"/>
        <w:spacing w:after="0" w:line="254" w:lineRule="auto"/>
        <w:rPr>
          <w:sz w:val="20"/>
          <w:szCs w:val="20"/>
          <w:color w:val="auto"/>
        </w:rPr>
      </w:pPr>
      <w:r>
        <w:rPr>
          <w:rFonts w:ascii="Arial" w:cs="Arial" w:eastAsia="Arial" w:hAnsi="Arial"/>
          <w:sz w:val="18"/>
          <w:szCs w:val="18"/>
          <w:color w:val="auto"/>
        </w:rPr>
        <w:t>Additionally, the FDA may refer any application to an advisory committee, including applications for novel drug candidates that present difficult questions of safety or efficacy.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3"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The FDA also may require submission of a risk evaluation and mitigation strategy, or REMS, plan, if it determines that a REMS is necessary to ensure that the benefits of the drug outweigh its risks and to assure the safe use of the drug product. A REMS is a safety strategy to manage a known or potential serious risk associated with a drug and to enable patients to have continued access to such medicines by managing their safe use, and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The FDA will not approve the NDA without a REMS, if required.</w:t>
      </w:r>
    </w:p>
    <w:p>
      <w:pPr>
        <w:spacing w:after="0" w:line="189"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sponsor or FDA may request a deferral of pediatric clinical trials for some or all of the pediatric subpopulations. The FDA must send a non-compliance letter to any sponsor that fails to submit the required assessment, keep a deferral current or fails to submit a request for approval of a pediatric formulation.</w:t>
      </w:r>
    </w:p>
    <w:p>
      <w:pPr>
        <w:spacing w:after="0" w:line="187"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After evaluating the NDA and all related information, including the advisory committee recommendation, if any, and any inspection reports regarding the manufacturing facilities, sponsor, and clinical trial sites, the FDA may issue either an approval letter or a complete response letter, or CRL. An approval letter authorizes commercial marketing of the drug with specific prescribing information and for specific indications. A CRL will describe all of the deficiencies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If a CRL is issued, the applicant may choose to either resubmit the NDA, addressing all of the deficiencies identified in the letter, or withdraw the application. If those deficiencies have been addressed to the FDA’s satisfaction, the FDA will issue an approval letter. Even with submission of this additional information, the FDA ultimately may decide that the application does not satisfy the regulatory criteria for approval.</w:t>
      </w:r>
    </w:p>
    <w:p>
      <w:pPr>
        <w:spacing w:after="0" w:line="187" w:lineRule="exact"/>
        <w:rPr>
          <w:sz w:val="20"/>
          <w:szCs w:val="20"/>
          <w:color w:val="auto"/>
        </w:rPr>
      </w:pPr>
    </w:p>
    <w:p>
      <w:pPr>
        <w:ind w:right="120" w:firstLine="439"/>
        <w:spacing w:after="0" w:line="251"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safety, require testing and surveillance programs to monitor the product,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2" w:lineRule="exact"/>
        <w:rPr>
          <w:sz w:val="20"/>
          <w:szCs w:val="20"/>
          <w:color w:val="auto"/>
        </w:rPr>
      </w:pPr>
    </w:p>
    <w:p>
      <w:pPr>
        <w:ind w:right="700" w:firstLine="439"/>
        <w:spacing w:after="0" w:line="261" w:lineRule="auto"/>
        <w:rPr>
          <w:sz w:val="20"/>
          <w:szCs w:val="20"/>
          <w:color w:val="auto"/>
        </w:rPr>
      </w:pPr>
      <w:r>
        <w:rPr>
          <w:rFonts w:ascii="Arial" w:cs="Arial" w:eastAsia="Arial" w:hAnsi="Arial"/>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product available in the United States for treatment of the disease or condition will be recovered from sales of the product). A sponsor must request orphan drug designation before submitting an NDA. If the request is granted, the FDA will disclose the identity of the therapeutic agent and its potential use. If a product with orphan status receives the first FDA approval for the disease or condition for which it has such designation or for a select indication or use within the rare disease or condition for which it was designated, the product generally will receive orphan product exclusivity. Orphan product exclusivity means that the FDA may not approve any other applications for the same product for the same approved use or indication within the relevant rare disease or condition for seven years. If a drug or drug product designated as an orphan product ultimately receives marketing approval for a disease or condition broader than what was designated in its orphan product application, it may not be entitled exclusivity. Orphan exclusivity will not bar approval of another product under certain circumstances, including if a subsequent product with the same active ingredient is shown to be clinically superior to the approved product with respect to the same indication or use on the basis of greater efficacy or safety, or to provide a major contribution to patient care, or if the company with orphan drug exclusivity is not able to meet the needs relating to the approved indication or use of the patients with the relevant disease or condition. Among the other benefits of orphan drug designation are tax credits for certain research and a waiver of the NDA application user fee. Orphan product designation, however, does not convey any advantage in or shorten the duration of the regulatory review and approval process.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 and priority review vouchers</w:t>
      </w:r>
    </w:p>
    <w:p>
      <w:pPr>
        <w:spacing w:after="0" w:line="112"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185"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For purposes of this program, a “rare pediatric disease” is a (a) serious or life-threatening disease in which the serious or life-threatening manifestations primarily affect individuals aged from birth to 18 years; and (b) rare diseases or conditions within the meaning of the Orphan Drug Act. Congress has only authorized the Rare Pediatric Disease Priority Review Voucher program until September 30, 2029. Consequently, unless Congress reauthorizes the program, the sponsor of the marketing application for a drug that receives Rare Pediatric Disease Designation will only be eligible to receive a voucher if the FDA grants the voucher on or before September 30, 2029.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breakthrough therapy and priority review designations</w:t>
      </w:r>
    </w:p>
    <w:p>
      <w:pPr>
        <w:spacing w:after="0" w:line="112"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77" w:lineRule="exact"/>
        <w:rPr>
          <w:sz w:val="20"/>
          <w:szCs w:val="20"/>
          <w:color w:val="auto"/>
        </w:rPr>
      </w:pPr>
    </w:p>
    <w:p>
      <w:pPr>
        <w:ind w:right="160" w:firstLine="439"/>
        <w:spacing w:after="0" w:line="254" w:lineRule="auto"/>
        <w:rPr>
          <w:sz w:val="20"/>
          <w:szCs w:val="20"/>
          <w:color w:val="auto"/>
        </w:rPr>
      </w:pPr>
      <w:r>
        <w:rPr>
          <w:rFonts w:ascii="Arial" w:cs="Arial" w:eastAsia="Arial" w:hAnsi="Arial"/>
          <w:sz w:val="18"/>
          <w:szCs w:val="18"/>
          <w:color w:val="auto"/>
        </w:rPr>
        <w:t>To be eligible for a fast track designation, the FDA must determine that a product candidate is intended to treat a serious or life threatening disease or condition and demonstrates the potential to address unmet medical needs for the condition. Fast track designation provides opportunities for more frequent interactions with the FDA review team to expedite development and review of the product candidate. The FDA may also agree to review sections of the NDA for a fast track product candidate on a rolling basis before the complete application is submitted.</w:t>
      </w:r>
    </w:p>
    <w:p>
      <w:pPr>
        <w:spacing w:after="0" w:line="183" w:lineRule="exact"/>
        <w:rPr>
          <w:sz w:val="20"/>
          <w:szCs w:val="20"/>
          <w:color w:val="auto"/>
        </w:rPr>
      </w:pPr>
    </w:p>
    <w:p>
      <w:pPr>
        <w:ind w:firstLine="439"/>
        <w:spacing w:after="0" w:line="269"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Praxis has two programs which have received breakthrough therapy designation: ulixacaltamide for treatment of Essential tremor and relutrigine for the treatment of seizure associated with SCN2A and SCN8A DEEs.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firstLine="439"/>
        <w:spacing w:after="0" w:line="251" w:lineRule="auto"/>
        <w:rPr>
          <w:sz w:val="20"/>
          <w:szCs w:val="20"/>
          <w:color w:val="auto"/>
        </w:rPr>
      </w:pPr>
      <w:r>
        <w:rPr>
          <w:rFonts w:ascii="Arial" w:cs="Arial" w:eastAsia="Arial" w:hAnsi="Arial"/>
          <w:sz w:val="18"/>
          <w:szCs w:val="18"/>
          <w:color w:val="auto"/>
        </w:rPr>
        <w:t>Finally, the FDA may designate an NDA for priority review if the product candidate treats a serious condition and, if approved, would provide a significant improvement in safety or effectiveness. The FDA determines at the time that the marketing application is submitted, on a case-by-case basis, whether the product candidate represents a significant improvement when compared with other available therapies. Significant improvement may be illustrated by, among other things, evidence of increased effectiveness,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the filing date for an NDA for a new molecular entity.</w:t>
      </w:r>
    </w:p>
    <w:p>
      <w:pPr>
        <w:spacing w:after="0" w:line="185"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and breakthrough therapy designation do not change the standards for approval and may not ultimately expedite the development or approval process.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12" w:lineRule="exact"/>
        <w:rPr>
          <w:sz w:val="20"/>
          <w:szCs w:val="20"/>
          <w:color w:val="auto"/>
        </w:rPr>
      </w:pPr>
    </w:p>
    <w:p>
      <w:pPr>
        <w:ind w:right="20" w:firstLine="439"/>
        <w:spacing w:after="0" w:line="265" w:lineRule="auto"/>
        <w:rPr>
          <w:sz w:val="20"/>
          <w:szCs w:val="20"/>
          <w:color w:val="auto"/>
        </w:rPr>
      </w:pPr>
      <w:r>
        <w:rPr>
          <w:rFonts w:ascii="Arial" w:cs="Arial" w:eastAsia="Arial" w:hAnsi="Arial"/>
          <w:sz w:val="17"/>
          <w:szCs w:val="17"/>
          <w:color w:val="auto"/>
        </w:rPr>
        <w:t>A drug product may also be eligible for accelerated approval if it is designed to treat a serious or life-threatening disease or condition and provides a meaningful therapeutic benefit over existing treatments. Such product candidates can be approved upon a determination that the product candidate has an effect on either a surrogate endpoint that is reasonably likely to predict clinical benefit or on an intermediate clinical endpoint that can be measured earlier than irreversible morbidity or mortality, or IMM, that is reasonably likely to predict an effect on IMM or other clinical benefit, taking into account the severity, rarity, or prevalence of the disease or condition and the availability or lack of alternative treatments. As a condition of approval, the FDA generally requires that a sponsor of a drug receiving accelerated approval perform adequate and well-controlled confirmatory clinical trials to verify and describe the predicted effect on IMM or other clinical endpoint, and may require that such confirmatory trials be underway prior to granting accelerated approval. The FDA may withdraw approval of a drug or indication approved under accelerated approval on an expedited basis if, for example, the confirmatory trial fails to verify the predicted clinical benefit of the product or the sponsor fails to conduct such confirmatory trials in a timely manner or in accordance with applicable regulations. Drugs granted accelerated approval must meet the same statutory standards for safety and effectiveness as those granted traditional approval. In addition, all promotional materials for products approved under the accelerated approval program are subject to prior review by the FDA.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product marketing exclusivity</w:t>
      </w:r>
    </w:p>
    <w:p>
      <w:pPr>
        <w:spacing w:after="0" w:line="112" w:lineRule="exact"/>
        <w:rPr>
          <w:sz w:val="20"/>
          <w:szCs w:val="20"/>
          <w:color w:val="auto"/>
        </w:rPr>
      </w:pPr>
    </w:p>
    <w:p>
      <w:pPr>
        <w:ind w:firstLine="439"/>
        <w:spacing w:after="0" w:line="269" w:lineRule="auto"/>
        <w:rPr>
          <w:sz w:val="20"/>
          <w:szCs w:val="20"/>
          <w:color w:val="auto"/>
        </w:rPr>
      </w:pPr>
      <w:r>
        <w:rPr>
          <w:rFonts w:ascii="Arial" w:cs="Arial" w:eastAsia="Arial" w:hAnsi="Arial"/>
          <w:sz w:val="17"/>
          <w:szCs w:val="17"/>
          <w:color w:val="auto"/>
        </w:rPr>
        <w:t>Market exclusivity provisions under the FDCA can delay the submission or the approval of certain marketing applications. For example,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 generic or follow-on version of the protected drug product, respectively, where the applicant does not own or have a legal right of reference to all the data required for approval. However, an application may be submitted after four years if it contains a certification of patent invalidity or non-infringement.</w:t>
      </w:r>
    </w:p>
    <w:p>
      <w:pPr>
        <w:spacing w:after="0" w:line="170"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The FDCA also provides three years of non-patent exclusivity when an NDA, or a supplement to an existing NDA, includes new clinical investigations, other than bioavailability studies, conducted or sponsored by the applicant that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or follow-on 505(b)(2) NDAs if the protected clinical data are not referenced. Five-year and three-year exclusivity will not delay the submission or approval of a stand-alone NDA submitted under section 505(b)(1) of the FDCA. However, an applicant submitting a stand-alone NDA would be required to conduct or obtain a right of reference to all of the preclinical studies and adequate and well-controlled clinical trials necessary to demonstrate safety and effectiveness, if applicable.</w:t>
      </w:r>
    </w:p>
    <w:p>
      <w:pPr>
        <w:spacing w:after="0" w:line="185" w:lineRule="exact"/>
        <w:rPr>
          <w:sz w:val="20"/>
          <w:szCs w:val="20"/>
          <w:color w:val="auto"/>
        </w:rPr>
      </w:pPr>
    </w:p>
    <w:p>
      <w:pPr>
        <w:ind w:right="80" w:firstLine="439"/>
        <w:spacing w:after="0" w:line="261" w:lineRule="auto"/>
        <w:rPr>
          <w:sz w:val="20"/>
          <w:szCs w:val="20"/>
          <w:color w:val="auto"/>
        </w:rPr>
      </w:pPr>
      <w:r>
        <w:rPr>
          <w:rFonts w:ascii="Arial" w:cs="Arial" w:eastAsia="Arial" w:hAnsi="Arial"/>
          <w:sz w:val="18"/>
          <w:szCs w:val="18"/>
          <w:color w:val="auto"/>
        </w:rPr>
        <w:t>Pediatric exclusivity is another type of regulatory market exclusivity in the United States. Pediatric exclusivity, if granted, adds six months to existing regulatory exclusivity periods or patent terms. This six-month exclusivity may be granted based on the voluntary completion of a pediatric trial in accordance with an FDA-issued “Written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Request” for such a trial. The FDA's issuance of a written request does not obligate the sponsor to complete the requested pediatric studies.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2" w:lineRule="exact"/>
        <w:rPr>
          <w:sz w:val="20"/>
          <w:szCs w:val="20"/>
          <w:color w:val="auto"/>
        </w:rPr>
      </w:pPr>
    </w:p>
    <w:p>
      <w:pPr>
        <w:ind w:right="20" w:firstLine="439"/>
        <w:spacing w:after="0" w:line="250" w:lineRule="auto"/>
        <w:rPr>
          <w:sz w:val="20"/>
          <w:szCs w:val="20"/>
          <w:color w:val="auto"/>
        </w:rPr>
      </w:pPr>
      <w:r>
        <w:rPr>
          <w:rFonts w:ascii="Arial" w:cs="Arial" w:eastAsia="Arial" w:hAnsi="Arial"/>
          <w:sz w:val="18"/>
          <w:szCs w:val="18"/>
          <w:color w:val="auto"/>
        </w:rPr>
        <w:t>Following approval of a drug product, the manufacturer and the approved drug are subject to pervasive and continuing regulation by the FDA, including, among other things, requirements relating to monitoring and recordkeeping, periodic reporting, product sampling and distribution, advertising and promotion and reporting of adverse experiences with the product. 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After approval, most changes to the approved product, such as adding new indications or other labeling claims or changes to the manufacturing processes or facilities, are subject to prior FDA review and approval. There are continuing, annual program fee requirements for any marketed products.</w:t>
      </w:r>
    </w:p>
    <w:p>
      <w:pPr>
        <w:spacing w:after="0" w:line="187"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129" w:lineRule="exact"/>
        <w:rPr>
          <w:sz w:val="20"/>
          <w:szCs w:val="20"/>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post-marketing studies or clinical trials to assess new safety risks, or restrictions under a REMS program;</w:t>
      </w:r>
    </w:p>
    <w:p>
      <w:pPr>
        <w:spacing w:after="0" w:line="165" w:lineRule="exact"/>
        <w:rPr>
          <w:rFonts w:ascii="Arial" w:cs="Arial" w:eastAsia="Arial" w:hAnsi="Arial"/>
          <w:sz w:val="18"/>
          <w:szCs w:val="18"/>
          <w:color w:val="auto"/>
        </w:rPr>
      </w:pPr>
    </w:p>
    <w:p>
      <w:pPr>
        <w:ind w:left="640" w:right="400" w:hanging="314"/>
        <w:spacing w:after="0" w:line="27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marketing, manufacturing or distribution of the product, complete withdrawal of the product from the market or product recalls;</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letters, untitled letters or other enforcement-related letters or clinical holds on post-approval clinical trials;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65" w:lineRule="exact"/>
        <w:rPr>
          <w:rFonts w:ascii="Arial" w:cs="Arial" w:eastAsia="Arial" w:hAnsi="Arial"/>
          <w:sz w:val="18"/>
          <w:szCs w:val="18"/>
          <w:color w:val="auto"/>
        </w:rPr>
      </w:pPr>
    </w:p>
    <w:p>
      <w:pPr>
        <w:ind w:left="640" w:right="300" w:hanging="314"/>
        <w:spacing w:after="0" w:line="27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safety alerts, Dear Healthcare Provider letters, press releases and other communications containing warnings or other safety information about the product;</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9"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must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 Physicians may prescribe, in their independent professional medical judgment, legally available products for uses that are not described in the product’s labeling and that differ from those tested and approved by the FDA. The FDA does not regulate the behavior of physicians in their choice of treatments, but it does restrict the manufacturer’s communications on the subject of off-label use of their products. However, companies may share truthful and not misleading information that is otherwise consistent with a product’s FDA-approved labeling.</w:t>
      </w: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laws and regulations</w:t>
      </w:r>
    </w:p>
    <w:p>
      <w:pPr>
        <w:spacing w:after="0" w:line="114" w:lineRule="exact"/>
        <w:rPr>
          <w:sz w:val="20"/>
          <w:szCs w:val="20"/>
          <w:color w:val="auto"/>
        </w:rPr>
      </w:pPr>
    </w:p>
    <w:p>
      <w:pPr>
        <w:ind w:right="80" w:firstLine="439"/>
        <w:spacing w:after="0" w:line="250"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in which they conduct their business, which may constrain the financial arrangements and relationships through which these companies and their partners research, sell, market and distribute any products for which marketing approval is obtained. Such laws include, without limitation, state and federal anti-kickback, fraud and abuse, false claims and transparency laws regarding drug pricing and payments and other transfer of value to physicians and other healthcare providers. If their operations are found to be in violation of any of such laws or any other governmental regulations that apply, they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2" w:lineRule="exact"/>
        <w:rPr>
          <w:sz w:val="20"/>
          <w:szCs w:val="20"/>
          <w:color w:val="auto"/>
        </w:rPr>
      </w:pPr>
    </w:p>
    <w:p>
      <w:pPr>
        <w:ind w:right="20" w:firstLine="439"/>
        <w:spacing w:after="0" w:line="250" w:lineRule="auto"/>
        <w:rPr>
          <w:sz w:val="20"/>
          <w:szCs w:val="20"/>
          <w:color w:val="auto"/>
        </w:rPr>
      </w:pPr>
      <w:r>
        <w:rPr>
          <w:rFonts w:ascii="Arial" w:cs="Arial" w:eastAsia="Arial" w:hAnsi="Arial"/>
          <w:sz w:val="18"/>
          <w:szCs w:val="18"/>
          <w:color w:val="auto"/>
        </w:rPr>
        <w:t>In the United States, there have been, and likely will continue to be, a number of legislative and regulatory changes regarding the healthcare system directed at broadening the availability of health care, improving the quality of health care and containing or lowering the cost of health care. For example, in March 2010 the Affordable Care Act, or ACA, was enacted, which substantially changed the way health care is financed by both governmental and private insurers, and significantly impacted the U.S. pharmaceutical industry. The ACA, among other things, subjected biological products to potential competition by lower-cost biosimilars; expanded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w:t>
      </w:r>
    </w:p>
    <w:p>
      <w:pPr>
        <w:spacing w:after="0" w:line="189" w:lineRule="exact"/>
        <w:rPr>
          <w:sz w:val="20"/>
          <w:szCs w:val="20"/>
          <w:color w:val="auto"/>
        </w:rPr>
      </w:pPr>
    </w:p>
    <w:p>
      <w:pPr>
        <w:ind w:right="20" w:firstLine="439"/>
        <w:spacing w:after="0" w:line="261" w:lineRule="auto"/>
        <w:rPr>
          <w:sz w:val="20"/>
          <w:szCs w:val="20"/>
          <w:color w:val="auto"/>
        </w:rPr>
      </w:pPr>
      <w:r>
        <w:rPr>
          <w:rFonts w:ascii="Arial" w:cs="Arial" w:eastAsia="Arial" w:hAnsi="Arial"/>
          <w:sz w:val="18"/>
          <w:szCs w:val="18"/>
          <w:color w:val="auto"/>
        </w:rPr>
        <w:t>Since its enactment, there have been judicial, administrative, executive and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77" w:lineRule="exact"/>
        <w:rPr>
          <w:sz w:val="20"/>
          <w:szCs w:val="20"/>
          <w:color w:val="auto"/>
        </w:rPr>
      </w:pPr>
    </w:p>
    <w:p>
      <w:pPr>
        <w:ind w:right="60" w:firstLine="439"/>
        <w:spacing w:after="0" w:line="250"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in August 2011, the Budget Control Act of 2011, among other things, included aggregate reductions of Medicare payments to providers. These reductions went into effect on April 1, 2013, and, due to subsequent legislative amendments, will remain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 Moreover, on March 11, 2021, the American Rescue Plan Act of 2021 was signed into law, which eliminated the statutory Medicaid drug rebate cap for single source and innovator multiple source drugs, beginning January 1, 2024. The rebate was previously capped at 100% of a drug's average manufacturer price.</w:t>
      </w:r>
    </w:p>
    <w:p>
      <w:pPr>
        <w:spacing w:after="0" w:line="189" w:lineRule="exact"/>
        <w:rPr>
          <w:sz w:val="20"/>
          <w:szCs w:val="20"/>
          <w:color w:val="auto"/>
        </w:rPr>
      </w:pPr>
    </w:p>
    <w:p>
      <w:pPr>
        <w:ind w:right="100" w:firstLine="439"/>
        <w:spacing w:after="0" w:line="251" w:lineRule="auto"/>
        <w:rPr>
          <w:sz w:val="20"/>
          <w:szCs w:val="20"/>
          <w:color w:val="auto"/>
        </w:rPr>
      </w:pPr>
      <w:r>
        <w:rPr>
          <w:rFonts w:ascii="Arial" w:cs="Arial" w:eastAsia="Arial" w:hAnsi="Arial"/>
          <w:sz w:val="18"/>
          <w:szCs w:val="18"/>
          <w:color w:val="auto"/>
        </w:rPr>
        <w:t>Payment methodologies may also be subject to changes in healthcare legislation and regulatory initiatives. For example, Centers for Medicare and Medicaid Services may develop new payment and delivery models, such as bundled payment models. There also has been heightened governmental scrutiny in the United States of pharmaceutical pricing practices in light of the rising cost of prescription drugs and biologics.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By way of example, in August 2022, the Inflation Reduction Act of 2022, or the IRA, was signed into law. Among other things, the IRA requires manufacturers of certain drugs to</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on January 1,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These provisions started to take effect progressively starting in fiscal year 2023. HHS has announced the agreed-upon prices for the first ten drugs that were subject to price negotiations, which took effect in January 2026, and the subsequent fifteen additional drugs, which will first take effect in January 2027. Each year thereafter, more Part B and Part D products will become subject to the HHS price negotiation program, although the program is currently subject to legal challenges.</w:t>
      </w:r>
    </w:p>
    <w:p>
      <w:pPr>
        <w:spacing w:after="0" w:line="189" w:lineRule="exact"/>
        <w:rPr>
          <w:sz w:val="20"/>
          <w:szCs w:val="20"/>
          <w:color w:val="auto"/>
        </w:rPr>
      </w:pPr>
    </w:p>
    <w:p>
      <w:pPr>
        <w:ind w:right="80" w:firstLine="439"/>
        <w:spacing w:after="0" w:line="261" w:lineRule="auto"/>
        <w:rPr>
          <w:sz w:val="20"/>
          <w:szCs w:val="20"/>
          <w:color w:val="auto"/>
        </w:rPr>
      </w:pPr>
      <w:r>
        <w:rPr>
          <w:rFonts w:ascii="Arial" w:cs="Arial" w:eastAsia="Arial" w:hAnsi="Arial"/>
          <w:sz w:val="18"/>
          <w:szCs w:val="18"/>
          <w:color w:val="auto"/>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77" w:lineRule="exact"/>
        <w:rPr>
          <w:sz w:val="20"/>
          <w:szCs w:val="20"/>
          <w:color w:val="auto"/>
        </w:rPr>
      </w:pPr>
    </w:p>
    <w:p>
      <w:pPr>
        <w:ind w:right="120" w:firstLine="439"/>
        <w:spacing w:after="0" w:line="250" w:lineRule="auto"/>
        <w:rPr>
          <w:sz w:val="20"/>
          <w:szCs w:val="20"/>
          <w:color w:val="auto"/>
        </w:rPr>
      </w:pPr>
      <w:r>
        <w:rPr>
          <w:rFonts w:ascii="Arial" w:cs="Arial" w:eastAsia="Arial" w:hAnsi="Arial"/>
          <w:sz w:val="18"/>
          <w:szCs w:val="18"/>
          <w:color w:val="auto"/>
        </w:rPr>
        <w:t>The current presidential administration is pursuing a two-fold strategy to reduce drug costs in the United States. While it is unclear whether and how such policies will be implemented, the proposed policies are likely to have a negative impact on the pharmaceutical industry and on our ability to receive adequate revenues for any product candidates we develop, if approved. As part of this strategy, President Trump has proposed imposing significant tariffs on pharmaceutical manufacturers that do not adopt pricing policies such as most favored nation pricing, which would tie the price for drugs in the United States to the lowest price in a group of other countries. In response, multiple manufacturers have reportedly entered into confidential pricing agreements with the federal government. In addition, the Trump administration is pursuing traditional regulatory pathways to impose drug pricing policies, although final regulations have not yet been published.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89" w:lineRule="exact"/>
        <w:rPr>
          <w:sz w:val="20"/>
          <w:szCs w:val="20"/>
          <w:color w:val="auto"/>
        </w:rPr>
      </w:pPr>
    </w:p>
    <w:p>
      <w:pPr>
        <w:ind w:right="140" w:firstLine="439"/>
        <w:spacing w:after="0" w:line="251" w:lineRule="auto"/>
        <w:rPr>
          <w:sz w:val="20"/>
          <w:szCs w:val="20"/>
          <w:color w:val="auto"/>
        </w:rPr>
      </w:pPr>
      <w:r>
        <w:rPr>
          <w:rFonts w:ascii="Arial" w:cs="Arial" w:eastAsia="Arial" w:hAnsi="Arial"/>
          <w:sz w:val="18"/>
          <w:szCs w:val="18"/>
          <w:color w:val="auto"/>
        </w:rPr>
        <w:t>At the state level, legislatures in the United States have also increasingly passed legislation and implemented regulations designed to control pharmaceutical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also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89"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2"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Sales of any products for which we receive regulatory approval for commercial sale will depend, in part, on the extent to which third-party payors provide coverage and establish adequate reimbursement levels for such drug products. In the United States, third-party payors include federal and state healthcare programs, government authorities, private manage care providers, private health insurers and other organizations. For products administered under the supervision of a physician, obtaining coverage and adequate reimbursement may be particularly difficult because of the higher prices often associated with such drugs.</w:t>
      </w:r>
    </w:p>
    <w:p>
      <w:pPr>
        <w:spacing w:after="0" w:line="187"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may need to conduct expensive pharmaco-economic studies in order to demonstrate the medical necessity and cost-effectiveness of our product candidates, if approved, in addition to the costs required to obtain the FDA approvals. Nonetheless,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ind w:right="100" w:firstLine="439"/>
        <w:spacing w:after="0" w:line="254"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outside of the United States</w:t>
      </w:r>
    </w:p>
    <w:p>
      <w:pPr>
        <w:spacing w:after="0" w:line="112" w:lineRule="exact"/>
        <w:rPr>
          <w:sz w:val="20"/>
          <w:szCs w:val="20"/>
          <w:color w:val="auto"/>
        </w:rPr>
      </w:pPr>
    </w:p>
    <w:p>
      <w:pPr>
        <w:ind w:right="160" w:firstLine="439"/>
        <w:spacing w:after="0" w:line="250" w:lineRule="auto"/>
        <w:rPr>
          <w:sz w:val="20"/>
          <w:szCs w:val="20"/>
          <w:color w:val="auto"/>
        </w:rPr>
      </w:pPr>
      <w:r>
        <w:rPr>
          <w:rFonts w:ascii="Arial" w:cs="Arial" w:eastAsia="Arial" w:hAnsi="Arial"/>
          <w:sz w:val="18"/>
          <w:szCs w:val="18"/>
          <w:color w:val="auto"/>
        </w:rPr>
        <w:t>In addition to regulations in the United States, we may be subject to a variety of regulations in foreign jurisdictions that govern, among other things, preclinical and clinical studies, commercial sales and distribution of our future products. Most countries outside of the United States, including the European Union, or the EU, require that clinical trial applications, or CTAs, be submitted to and approved by the local regulatory authority for each clinical study. In addition, whether or not we obtain FDA approval for a product candidate, we must obtain the requisite approval from comparable regulatory authorities outside the United States before we can commence clinical studies or marketing of the product candidate in those countries. The requirements and process governing the conduct of clinical trials, approval,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studies and clinical trials in the European Union</w:t>
      </w:r>
    </w:p>
    <w:p>
      <w:pPr>
        <w:spacing w:after="0" w:line="112" w:lineRule="exact"/>
        <w:rPr>
          <w:sz w:val="20"/>
          <w:szCs w:val="20"/>
          <w:color w:val="auto"/>
        </w:rPr>
      </w:pPr>
    </w:p>
    <w:p>
      <w:pPr>
        <w:ind w:right="660" w:firstLine="439"/>
        <w:spacing w:after="0" w:line="276" w:lineRule="auto"/>
        <w:rPr>
          <w:sz w:val="20"/>
          <w:szCs w:val="20"/>
          <w:color w:val="auto"/>
        </w:rPr>
      </w:pPr>
      <w:r>
        <w:rPr>
          <w:rFonts w:ascii="Arial" w:cs="Arial" w:eastAsia="Arial" w:hAnsi="Arial"/>
          <w:sz w:val="18"/>
          <w:szCs w:val="18"/>
          <w:color w:val="auto"/>
        </w:rPr>
        <w:t>Similar to the United States, the various phases of non-clinical and clinical research in the EU are subject to significant regulatory controls.</w:t>
      </w:r>
    </w:p>
    <w:p>
      <w:pPr>
        <w:spacing w:after="0" w:line="163" w:lineRule="exact"/>
        <w:rPr>
          <w:sz w:val="20"/>
          <w:szCs w:val="20"/>
          <w:color w:val="auto"/>
        </w:rPr>
      </w:pPr>
    </w:p>
    <w:p>
      <w:pPr>
        <w:ind w:right="120" w:firstLine="439"/>
        <w:spacing w:after="0" w:line="251" w:lineRule="auto"/>
        <w:rPr>
          <w:sz w:val="20"/>
          <w:szCs w:val="20"/>
          <w:color w:val="auto"/>
        </w:rPr>
      </w:pPr>
      <w:r>
        <w:rPr>
          <w:rFonts w:ascii="Arial" w:cs="Arial" w:eastAsia="Arial" w:hAnsi="Arial"/>
          <w:sz w:val="18"/>
          <w:szCs w:val="18"/>
          <w:color w:val="auto"/>
        </w:rPr>
        <w:t>Non-clinical studies are performed to demonstrate the health or environmental safety of new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9" w:lineRule="exact"/>
        <w:rPr>
          <w:sz w:val="20"/>
          <w:szCs w:val="20"/>
          <w:color w:val="auto"/>
        </w:rPr>
      </w:pPr>
    </w:p>
    <w:p>
      <w:pPr>
        <w:ind w:right="300" w:firstLine="439"/>
        <w:spacing w:after="0" w:line="252" w:lineRule="auto"/>
        <w:rPr>
          <w:sz w:val="20"/>
          <w:szCs w:val="20"/>
          <w:color w:val="auto"/>
        </w:rPr>
      </w:pPr>
      <w:r>
        <w:rPr>
          <w:rFonts w:ascii="Arial" w:cs="Arial" w:eastAsia="Arial" w:hAnsi="Arial"/>
          <w:sz w:val="18"/>
          <w:szCs w:val="18"/>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7" w:lineRule="exact"/>
        <w:rPr>
          <w:sz w:val="20"/>
          <w:szCs w:val="20"/>
          <w:color w:val="auto"/>
        </w:rPr>
      </w:pPr>
    </w:p>
    <w:p>
      <w:pPr>
        <w:ind w:right="120" w:firstLine="439"/>
        <w:spacing w:after="0" w:line="254" w:lineRule="auto"/>
        <w:rPr>
          <w:sz w:val="20"/>
          <w:szCs w:val="20"/>
          <w:color w:val="auto"/>
        </w:rPr>
      </w:pPr>
      <w:r>
        <w:rPr>
          <w:rFonts w:ascii="Arial" w:cs="Arial" w:eastAsia="Arial" w:hAnsi="Arial"/>
          <w:sz w:val="18"/>
          <w:szCs w:val="18"/>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or CTIS, which contains a centralized EU portal and database.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firstLine="439"/>
        <w:spacing w:after="0" w:line="250" w:lineRule="auto"/>
        <w:rPr>
          <w:sz w:val="20"/>
          <w:szCs w:val="20"/>
          <w:color w:val="auto"/>
        </w:rPr>
      </w:pPr>
      <w:r>
        <w:rPr>
          <w:rFonts w:ascii="Arial" w:cs="Arial" w:eastAsia="Arial" w:hAnsi="Arial"/>
          <w:sz w:val="18"/>
          <w:szCs w:val="18"/>
          <w:color w:val="auto"/>
        </w:rPr>
        <w:t>While the EU Clinical Trials Directive required a separate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9" w:lineRule="exact"/>
        <w:rPr>
          <w:sz w:val="20"/>
          <w:szCs w:val="20"/>
          <w:color w:val="auto"/>
        </w:rPr>
      </w:pPr>
    </w:p>
    <w:p>
      <w:pPr>
        <w:ind w:right="740" w:firstLine="439"/>
        <w:spacing w:after="0" w:line="276" w:lineRule="auto"/>
        <w:rPr>
          <w:sz w:val="20"/>
          <w:szCs w:val="20"/>
          <w:color w:val="auto"/>
        </w:rPr>
      </w:pPr>
      <w:r>
        <w:rPr>
          <w:rFonts w:ascii="Arial" w:cs="Arial" w:eastAsia="Arial" w:hAnsi="Arial"/>
          <w:sz w:val="18"/>
          <w:szCs w:val="18"/>
          <w:color w:val="auto"/>
        </w:rPr>
        <w:t>The CTR transition period ended on January 31, 2025, and all clinical trials (and related applications) are now fully subject to the provisions of the CTR.</w:t>
      </w:r>
    </w:p>
    <w:p>
      <w:pPr>
        <w:spacing w:after="0" w:line="163" w:lineRule="exact"/>
        <w:rPr>
          <w:sz w:val="20"/>
          <w:szCs w:val="20"/>
          <w:color w:val="auto"/>
        </w:rPr>
      </w:pPr>
    </w:p>
    <w:p>
      <w:pPr>
        <w:ind w:right="80" w:firstLine="439"/>
        <w:spacing w:after="0" w:line="276" w:lineRule="auto"/>
        <w:rPr>
          <w:sz w:val="20"/>
          <w:szCs w:val="20"/>
          <w:color w:val="auto"/>
        </w:rPr>
      </w:pPr>
      <w:r>
        <w:rPr>
          <w:rFonts w:ascii="Arial" w:cs="Arial" w:eastAsia="Arial" w:hAnsi="Arial"/>
          <w:sz w:val="18"/>
          <w:szCs w:val="18"/>
          <w:color w:val="auto"/>
        </w:rPr>
        <w:t>Medicines used in clinical trials must be manufactured in accordance with Good Manufacturing Practice, or GMP. Other national and EU-wide regulatory requirements may also apply.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112"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In order to market our product candidates in the EU and many other foreign jurisdictions, we must obtain separate regulatory approvals. More concretely, in the EU, medicinal product candidates can only be commercialized after obtaining a marketing authorization, or MA. To obtain regulatory approval of a product candidate under EU regulatory systems, we must submit a MA application, or MAA. The process for doing this depends, among other things, on the nature of the medicinal product. There are two types of MAs:</w:t>
      </w:r>
    </w:p>
    <w:p>
      <w:pPr>
        <w:spacing w:after="0" w:line="129" w:lineRule="exact"/>
        <w:rPr>
          <w:sz w:val="20"/>
          <w:szCs w:val="20"/>
          <w:color w:val="auto"/>
        </w:rPr>
      </w:pPr>
    </w:p>
    <w:p>
      <w:pPr>
        <w:ind w:left="640" w:right="140" w:hanging="314"/>
        <w:spacing w:after="0" w:line="250"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“Centralized MAs” are issued by the European Commission through the centralized procedure based on the opinion of the Committee for Medicinal Products for Human Use, or CHMP, of the European Medicines Agency, or EMA, and are valid throughout the EU. The centralized procedure is compulsory for certain types of medicinal products such as (i) medicinal products derived from biotechnological processes, (ii) designated orphan medicinal products, (iii) advanced therapy medicinal products, or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36" w:lineRule="exact"/>
        <w:rPr>
          <w:rFonts w:ascii="Arial" w:cs="Arial" w:eastAsia="Arial" w:hAnsi="Arial"/>
          <w:sz w:val="18"/>
          <w:szCs w:val="18"/>
          <w:color w:val="auto"/>
        </w:rPr>
      </w:pPr>
    </w:p>
    <w:p>
      <w:pPr>
        <w:ind w:left="640" w:right="20" w:hanging="314"/>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9" w:lineRule="exact"/>
        <w:rPr>
          <w:sz w:val="20"/>
          <w:szCs w:val="20"/>
          <w:color w:val="auto"/>
        </w:rPr>
      </w:pPr>
    </w:p>
    <w:p>
      <w:pPr>
        <w:ind w:right="80" w:firstLine="439"/>
        <w:spacing w:after="0" w:line="276" w:lineRule="auto"/>
        <w:rPr>
          <w:sz w:val="20"/>
          <w:szCs w:val="20"/>
          <w:color w:val="auto"/>
        </w:rPr>
      </w:pPr>
      <w:r>
        <w:rPr>
          <w:rFonts w:ascii="Arial" w:cs="Arial" w:eastAsia="Arial" w:hAnsi="Arial"/>
          <w:sz w:val="18"/>
          <w:szCs w:val="18"/>
          <w:color w:val="auto"/>
        </w:rPr>
        <w:t>Under the centralized procedure the maximum timeframe for the evaluation of an MAA by the EMA is 210 days, excluding clock stops. In exceptional cases, the CHMP might perform an accelerated review of a MAA in no more than 150 days (not including clock stops).</w:t>
      </w:r>
    </w:p>
    <w:p>
      <w:pPr>
        <w:spacing w:after="0" w:line="163"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83"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Under the above-described procedures, in order to grant the MA, the EMA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and market protection</w:t>
      </w:r>
    </w:p>
    <w:p>
      <w:pPr>
        <w:spacing w:after="0" w:line="112"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In the EU, new products authorized for marketing (</w:t>
      </w:r>
      <w:r>
        <w:rPr>
          <w:rFonts w:ascii="Arial" w:cs="Arial" w:eastAsia="Arial" w:hAnsi="Arial"/>
          <w:sz w:val="18"/>
          <w:szCs w:val="18"/>
          <w:i w:val="1"/>
          <w:iCs w:val="1"/>
          <w:color w:val="auto"/>
        </w:rPr>
        <w:t>i.e.</w:t>
      </w:r>
      <w:r>
        <w:rPr>
          <w:rFonts w:ascii="Arial" w:cs="Arial" w:eastAsia="Arial" w:hAnsi="Arial"/>
          <w:sz w:val="18"/>
          <w:szCs w:val="18"/>
          <w:color w:val="auto"/>
        </w:rPr>
        <w:t>,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medicinal products</w:t>
      </w:r>
    </w:p>
    <w:p>
      <w:pPr>
        <w:spacing w:after="0" w:line="112"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89" w:lineRule="exact"/>
        <w:rPr>
          <w:sz w:val="20"/>
          <w:szCs w:val="20"/>
          <w:color w:val="auto"/>
        </w:rPr>
      </w:pPr>
    </w:p>
    <w:p>
      <w:pPr>
        <w:ind w:right="80" w:firstLine="439"/>
        <w:spacing w:after="0" w:line="269" w:lineRule="auto"/>
        <w:rPr>
          <w:sz w:val="20"/>
          <w:szCs w:val="20"/>
          <w:color w:val="auto"/>
        </w:rPr>
      </w:pPr>
      <w:r>
        <w:rPr>
          <w:rFonts w:ascii="Arial" w:cs="Arial" w:eastAsia="Arial" w:hAnsi="Arial"/>
          <w:sz w:val="17"/>
          <w:szCs w:val="17"/>
          <w:color w:val="auto"/>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170"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87" w:lineRule="exact"/>
        <w:rPr>
          <w:sz w:val="20"/>
          <w:szCs w:val="20"/>
          <w:color w:val="auto"/>
        </w:rPr>
      </w:pPr>
    </w:p>
    <w:p>
      <w:pPr>
        <w:ind w:right="360" w:firstLine="439"/>
        <w:spacing w:after="0" w:line="276" w:lineRule="auto"/>
        <w:rPr>
          <w:sz w:val="20"/>
          <w:szCs w:val="20"/>
          <w:color w:val="auto"/>
        </w:rPr>
      </w:pPr>
      <w:r>
        <w:rPr>
          <w:rFonts w:ascii="Arial" w:cs="Arial" w:eastAsia="Arial" w:hAnsi="Arial"/>
          <w:sz w:val="18"/>
          <w:szCs w:val="18"/>
          <w:color w:val="auto"/>
        </w:rPr>
        <w:t>The aforementioned EU rules are generally applicable in the European Economic Area, or EEA, which consists of the 27 EU member states plus Norway, Liechtenstein and Iceland.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0" w:firstLine="439"/>
        <w:spacing w:after="0" w:line="252" w:lineRule="auto"/>
        <w:rPr>
          <w:sz w:val="20"/>
          <w:szCs w:val="20"/>
          <w:color w:val="auto"/>
        </w:rPr>
      </w:pPr>
      <w:r>
        <w:rPr>
          <w:rFonts w:ascii="Arial" w:cs="Arial" w:eastAsia="Arial" w:hAnsi="Arial"/>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112"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pricing and reimbursement</w:t>
      </w:r>
    </w:p>
    <w:p>
      <w:pPr>
        <w:spacing w:after="0" w:line="112" w:lineRule="exact"/>
        <w:rPr>
          <w:sz w:val="20"/>
          <w:szCs w:val="20"/>
          <w:color w:val="auto"/>
        </w:rPr>
      </w:pPr>
    </w:p>
    <w:p>
      <w:pPr>
        <w:ind w:right="280" w:firstLine="439"/>
        <w:spacing w:after="0" w:line="276" w:lineRule="auto"/>
        <w:rPr>
          <w:sz w:val="20"/>
          <w:szCs w:val="20"/>
          <w:color w:val="auto"/>
        </w:rPr>
      </w:pPr>
      <w:r>
        <w:rPr>
          <w:rFonts w:ascii="Arial" w:cs="Arial" w:eastAsia="Arial" w:hAnsi="Arial"/>
          <w:sz w:val="18"/>
          <w:szCs w:val="18"/>
          <w:color w:val="auto"/>
        </w:rPr>
        <w:t>In addition, in many countries, the proposed pricing for a drug must be approved before it may be lawfully marketed. The requirements governing drug pricing and reimbursement vary widely from country to country.</w:t>
      </w:r>
    </w:p>
    <w:p>
      <w:pPr>
        <w:spacing w:after="0" w:line="163" w:lineRule="exact"/>
        <w:rPr>
          <w:sz w:val="20"/>
          <w:szCs w:val="20"/>
          <w:color w:val="auto"/>
        </w:rPr>
      </w:pPr>
    </w:p>
    <w:p>
      <w:pPr>
        <w:ind w:right="80" w:firstLine="439"/>
        <w:spacing w:after="0" w:line="249" w:lineRule="auto"/>
        <w:rPr>
          <w:sz w:val="20"/>
          <w:szCs w:val="20"/>
          <w:color w:val="auto"/>
        </w:rPr>
      </w:pPr>
      <w:r>
        <w:rPr>
          <w:rFonts w:ascii="Arial" w:cs="Arial" w:eastAsia="Arial" w:hAnsi="Arial"/>
          <w:sz w:val="18"/>
          <w:szCs w:val="18"/>
          <w:color w:val="auto"/>
        </w:rPr>
        <w:t>In the EU, governments influence the price of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 priced markets exert a commercial pressure on pricing within a country.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w:t>
      </w:r>
    </w:p>
    <w:p>
      <w:pPr>
        <w:spacing w:after="0" w:line="112" w:lineRule="exact"/>
        <w:rPr>
          <w:sz w:val="20"/>
          <w:szCs w:val="20"/>
          <w:color w:val="auto"/>
        </w:rPr>
      </w:pPr>
    </w:p>
    <w:p>
      <w:pPr>
        <w:ind w:right="60" w:firstLine="439"/>
        <w:spacing w:after="0" w:line="267" w:lineRule="auto"/>
        <w:rPr>
          <w:sz w:val="20"/>
          <w:szCs w:val="20"/>
          <w:color w:val="auto"/>
        </w:rPr>
      </w:pPr>
      <w:r>
        <w:rPr>
          <w:rFonts w:ascii="Arial" w:cs="Arial" w:eastAsia="Arial" w:hAnsi="Arial"/>
          <w:sz w:val="17"/>
          <w:szCs w:val="17"/>
          <w:color w:val="auto"/>
        </w:rPr>
        <w:t>The EU is also subject to political, economic and regulatory developments which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international markets, reimbursement and healthcare payment systems vary significantly by country, and many countries have instituted price ceilings on specific products and therapies.</w:t>
      </w:r>
    </w:p>
    <w:p>
      <w:pPr>
        <w:spacing w:after="0" w:line="163"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82"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Health Technology Assessment, or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83" w:lineRule="exact"/>
        <w:rPr>
          <w:sz w:val="20"/>
          <w:szCs w:val="20"/>
          <w:color w:val="auto"/>
        </w:rPr>
      </w:pPr>
    </w:p>
    <w:p>
      <w:pPr>
        <w:ind w:right="260" w:firstLine="439"/>
        <w:spacing w:after="0" w:line="265" w:lineRule="auto"/>
        <w:rPr>
          <w:sz w:val="20"/>
          <w:szCs w:val="20"/>
          <w:color w:val="auto"/>
        </w:rPr>
      </w:pPr>
      <w:r>
        <w:rPr>
          <w:rFonts w:ascii="Arial" w:cs="Arial" w:eastAsia="Arial" w:hAnsi="Arial"/>
          <w:sz w:val="17"/>
          <w:szCs w:val="17"/>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12"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the Health Insurance Portability and Accountability Act of 1996 and regulations promulgated thereunder, or HIPAA, and federal and state consumer protection laws and regulations that govern the collection, use, disclosure, and protection of health-related and other personal information could apply now or in the future to our operations or the operations of our partners. In addition, certain state and non-U.S. laws, such as the California Consumer Privacy Act of 2018, as amended by the California Privacy Rights Act of 2020, collectively, the CCPA, and the General Data Protection Regulation, or GDPR, and the U.K.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and regulations governing international operations</w:t>
      </w:r>
    </w:p>
    <w:p>
      <w:pPr>
        <w:spacing w:after="0" w:line="112"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If we further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reflect all transactions of the corporation, including international subsidiaries, and to devise and maintain an adequate system of internal accounting controls for international operations.</w:t>
      </w:r>
    </w:p>
    <w:p>
      <w:pPr>
        <w:spacing w:after="0" w:line="163"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by U.S. authorities that enforce the FCPA, including the Department of Justice, to be foreign officials. Certain payments to hospitals in connection with clinical trials and other work have been deemed to be improper payments to government officials and have led to FCPA enforcement actions.</w:t>
      </w:r>
    </w:p>
    <w:p>
      <w:pPr>
        <w:spacing w:after="0" w:line="183"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3" w:lineRule="exact"/>
        <w:rPr>
          <w:sz w:val="20"/>
          <w:szCs w:val="20"/>
          <w:color w:val="auto"/>
        </w:rPr>
      </w:pPr>
    </w:p>
    <w:p>
      <w:pPr>
        <w:ind w:right="140" w:firstLine="439"/>
        <w:spacing w:after="0" w:line="261"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Praxis, our mission is to help patients by delivering life-altering treatments faster and more effectively than has ever been done before.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Agnostic to the source of an idea, we work tirelessly to find the most practical solutions for patients as quickly and efficiently as possible.</w:t>
      </w:r>
    </w:p>
    <w:p>
      <w:pPr>
        <w:spacing w:after="0" w:line="20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Our people, the patient communities we serve and their caregivers and families are at the forefront of our efforts. Our approach to</w:t>
      </w:r>
    </w:p>
    <w:p>
      <w:pPr>
        <w:spacing w:after="0" w:line="2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building a robust clinical pipeline provides a forum for exploration and innovation where we are all involved in building the company together.</w:t>
      </w:r>
    </w:p>
    <w:p>
      <w:pPr>
        <w:spacing w:after="0" w:line="214" w:lineRule="exact"/>
        <w:rPr>
          <w:sz w:val="20"/>
          <w:szCs w:val="20"/>
          <w:color w:val="auto"/>
        </w:rPr>
      </w:pPr>
    </w:p>
    <w:p>
      <w:pPr>
        <w:ind w:right="100" w:firstLine="439"/>
        <w:spacing w:after="0" w:line="252" w:lineRule="auto"/>
        <w:rPr>
          <w:sz w:val="20"/>
          <w:szCs w:val="20"/>
          <w:color w:val="auto"/>
        </w:rPr>
      </w:pPr>
      <w:r>
        <w:rPr>
          <w:rFonts w:ascii="Arial" w:cs="Arial" w:eastAsia="Arial" w:hAnsi="Arial"/>
          <w:sz w:val="18"/>
          <w:szCs w:val="18"/>
          <w:color w:val="auto"/>
        </w:rPr>
        <w:t xml:space="preserve">As a flat and agile organization, each employee has an impact. Our ways of working are team-based and focused on co-creation. We respect all opinions and encourage diversity. Discrimination is never tolerated. We are dedicated to developing our culture and our employees through our company core values – </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Curiosity</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Results</w:t>
      </w:r>
      <w:r>
        <w:rPr>
          <w:rFonts w:ascii="Arial" w:cs="Arial" w:eastAsia="Arial" w:hAnsi="Arial"/>
          <w:sz w:val="18"/>
          <w:szCs w:val="18"/>
          <w:color w:val="auto"/>
        </w:rPr>
        <w:t>. Our ability to deliver life-altering treatments to patients and families affected by and living with complex brain disorders is built on the foundation of our shared core values. More than just statements and ideas, our values provide structure for the way we work as a company and set the expectation for what we can achieve together. By living our values, our teams drive us to deliver positive results for the communities we serve.</w:t>
      </w:r>
    </w:p>
    <w:p>
      <w:pPr>
        <w:spacing w:after="0" w:line="80"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It is the strength of our culture and career-defining opportunities that enable us to attract and retain incredible talent to Praxis. As of February 16, 2026, we have 168 employees and plan to continue to grow as we advance the potential of our pipeline. In order to ambitiously deliver results based on the depth of our programs and prepare for potential commercialization, we expect to expand our workforce, with the majority of anticipated hiring focused on building commercial capabilities. We provide development opportunities that will stretch and challenge employees to deliver more than they ever thought possible. To support them we offer a world-class portfolio of compensation and benefits, including medical, dental and vision plans, a discretionary bonus program structured to pay on a quarterly basis, 401k plan with match, wellness benefits including a monthly allowance that employees may apply toward a broad range of health and well-being expenses, eligibility for equity awards and an employee stock purchase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4"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Our Internet address is http://praxismedicines.com. Our Annual Reports on Form 10-K, Quarterly Reports on Form 10-Q, Current Reports on Form 8-K, including exhibits, proxy and information statements and amendments to those reports filed or furnished pursuant to Sections 13(a) and 15(d) of the Exchange Act are available through the “Investors + Media”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http://www.sec.gov. All statements made in any of our securities filings, including all forward-looking statements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4"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Annual Report on Form 10-K, including our consolidated financial statements and the related notes appearing elsewhere in this Annual Report on Form 10-K and in our other filings with the Securities and Exchange Commission, or SEC,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event, the trading price of our common stock could decline, and you might lose all or part of your investment.</w:t>
      </w:r>
    </w:p>
    <w:p>
      <w:pPr>
        <w:spacing w:after="0" w:line="80" w:lineRule="exact"/>
        <w:rPr>
          <w:sz w:val="20"/>
          <w:szCs w:val="20"/>
          <w:color w:val="auto"/>
        </w:rPr>
      </w:pPr>
    </w:p>
    <w:p>
      <w:pPr>
        <w:ind w:right="5220"/>
        <w:spacing w:after="0" w:line="371" w:lineRule="auto"/>
        <w:rPr>
          <w:sz w:val="20"/>
          <w:szCs w:val="20"/>
          <w:color w:val="auto"/>
        </w:rPr>
      </w:pPr>
      <w:r>
        <w:rPr>
          <w:rFonts w:ascii="Arial" w:cs="Arial" w:eastAsia="Arial" w:hAnsi="Arial"/>
          <w:sz w:val="18"/>
          <w:szCs w:val="18"/>
          <w:b w:val="1"/>
          <w:bCs w:val="1"/>
          <w:color w:val="auto"/>
        </w:rPr>
        <w:t xml:space="preserve">Risks Related to Our Financial Position and Need for Additional Capital </w:t>
      </w:r>
      <w:r>
        <w:rPr>
          <w:rFonts w:ascii="Arial" w:cs="Arial" w:eastAsia="Arial" w:hAnsi="Arial"/>
          <w:sz w:val="18"/>
          <w:szCs w:val="18"/>
          <w:u w:val="single" w:color="auto"/>
          <w:color w:val="auto"/>
        </w:rPr>
        <w:t>Risks Related to Past Financial Condition</w:t>
      </w:r>
    </w:p>
    <w:p>
      <w:pPr>
        <w:spacing w:after="0" w:line="1" w:lineRule="exact"/>
        <w:rPr>
          <w:sz w:val="20"/>
          <w:szCs w:val="20"/>
          <w:color w:val="auto"/>
        </w:rPr>
      </w:pPr>
    </w:p>
    <w:p>
      <w:pPr>
        <w:ind w:right="560"/>
        <w:spacing w:after="0" w:line="288" w:lineRule="auto"/>
        <w:rPr>
          <w:sz w:val="20"/>
          <w:szCs w:val="20"/>
          <w:color w:val="auto"/>
        </w:rPr>
      </w:pPr>
      <w:r>
        <w:rPr>
          <w:rFonts w:ascii="Arial" w:cs="Arial" w:eastAsia="Arial" w:hAnsi="Arial"/>
          <w:sz w:val="18"/>
          <w:szCs w:val="18"/>
          <w:b w:val="1"/>
          <w:bCs w:val="1"/>
          <w:i w:val="1"/>
          <w:iCs w:val="1"/>
          <w:color w:val="auto"/>
        </w:rPr>
        <w:t>We are a clinical-stage biopharmaceutical company and we have incurred significant losses since our inception. We may incur significant losses for the foreseeable future.</w:t>
      </w:r>
    </w:p>
    <w:p>
      <w:pPr>
        <w:spacing w:after="0" w:line="36"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to date, and we will continue to incur significant research and development and other expenses related to our clinical development, preparations for potential commercialization of our product candidates, if approved, and ongoing operations. As a result, we are not profitable and have incurred losses in each period since our inception. Since our inception, we have devoted substantially all of our financial resources and efforts to research and development, including preclinical studies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stockholders’ equity and working capital. Our net losses were $303.3 million and $182.8 million for the years ended December 31, 2025 and 2024, respectively. As of December 31, 2025, we had an accumulated deficit of $1.1 billion. We expect we may continue to incur significant losses for the foreseeable future, and these losses may increase as we continue our research and development of and seek regulatory approvals for our product candidates in our initial and potential additional indications as well as for other product candidates, and prepare for potential commercialization of our product candidates, if approved.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112" w:lineRule="exact"/>
        <w:rPr>
          <w:sz w:val="20"/>
          <w:szCs w:val="20"/>
          <w:color w:val="auto"/>
        </w:rPr>
      </w:pPr>
    </w:p>
    <w:p>
      <w:pPr>
        <w:ind w:left="640" w:hanging="31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internationally, for our product candidates;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continue research and development, including preclinical, clinical and discovery efforts for any future product candidates;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may successfully complete clinical development;</w:t>
      </w:r>
    </w:p>
    <w:p>
      <w:pPr>
        <w:spacing w:after="0" w:line="112" w:lineRule="exact"/>
        <w:rPr>
          <w:rFonts w:ascii="Arial" w:cs="Arial" w:eastAsia="Arial" w:hAnsi="Arial"/>
          <w:sz w:val="18"/>
          <w:szCs w:val="18"/>
          <w:color w:val="auto"/>
        </w:rPr>
      </w:pPr>
    </w:p>
    <w:p>
      <w:pPr>
        <w:ind w:left="640" w:right="160" w:hanging="314"/>
        <w:spacing w:after="0" w:line="27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help us comply with our obligations as a public company;</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and administrative personnel;</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2" w:lineRule="exact"/>
        <w:rPr>
          <w:rFonts w:ascii="Arial" w:cs="Arial" w:eastAsia="Arial" w:hAnsi="Arial"/>
          <w:sz w:val="18"/>
          <w:szCs w:val="18"/>
          <w:color w:val="auto"/>
        </w:rPr>
      </w:pPr>
    </w:p>
    <w:p>
      <w:pPr>
        <w:ind w:left="640" w:right="480" w:hanging="314"/>
        <w:spacing w:after="0" w:line="27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for potential commercialization of our product candidates, including market research, pricing and reimbursement strategy development, market access planning, and other commercial readiness activities;</w:t>
      </w:r>
    </w:p>
    <w:p>
      <w:pPr>
        <w:spacing w:after="0" w:line="56" w:lineRule="exact"/>
        <w:rPr>
          <w:rFonts w:ascii="Arial" w:cs="Arial" w:eastAsia="Arial" w:hAnsi="Arial"/>
          <w:sz w:val="18"/>
          <w:szCs w:val="18"/>
          <w:color w:val="auto"/>
        </w:rPr>
      </w:pPr>
    </w:p>
    <w:p>
      <w:pPr>
        <w:ind w:left="640" w:right="80" w:hanging="314"/>
        <w:spacing w:after="0" w:line="27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314"/>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2" w:lineRule="exact"/>
        <w:rPr>
          <w:sz w:val="20"/>
          <w:szCs w:val="20"/>
          <w:color w:val="auto"/>
        </w:rPr>
      </w:pPr>
    </w:p>
    <w:p>
      <w:pPr>
        <w:jc w:val="both"/>
        <w:ind w:right="80" w:firstLine="439"/>
        <w:spacing w:after="0" w:line="261" w:lineRule="auto"/>
        <w:rPr>
          <w:sz w:val="20"/>
          <w:szCs w:val="20"/>
          <w:color w:val="auto"/>
        </w:rPr>
      </w:pPr>
      <w:r>
        <w:rPr>
          <w:rFonts w:ascii="Arial" w:cs="Arial" w:eastAsia="Arial" w:hAnsi="Arial"/>
          <w:sz w:val="18"/>
          <w:szCs w:val="18"/>
          <w:color w:val="auto"/>
        </w:rPr>
        <w:t>Our expenses could increase beyond our expectations if we are required by the U.S. Food and Drug Administration, or the FDA, or other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112"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b w:val="1"/>
          <w:bCs w:val="1"/>
          <w:i w:val="1"/>
          <w:iCs w:val="1"/>
          <w:color w:val="auto"/>
        </w:rPr>
        <w:t>We may need additional funding, and if we are unable to raise capital when needed, we could be forced to delay, reduce or eliminate our product discovery and development programs or commercialization efforts.</w:t>
      </w:r>
    </w:p>
    <w:p>
      <w:pPr>
        <w:spacing w:after="0" w:line="36" w:lineRule="exact"/>
        <w:rPr>
          <w:sz w:val="20"/>
          <w:szCs w:val="20"/>
          <w:color w:val="auto"/>
        </w:rPr>
      </w:pPr>
    </w:p>
    <w:p>
      <w:pPr>
        <w:ind w:right="140" w:firstLine="439"/>
        <w:spacing w:after="0" w:line="251" w:lineRule="auto"/>
        <w:rPr>
          <w:sz w:val="20"/>
          <w:szCs w:val="20"/>
          <w:color w:val="auto"/>
        </w:rPr>
      </w:pPr>
      <w:r>
        <w:rPr>
          <w:rFonts w:ascii="Arial" w:cs="Arial" w:eastAsia="Arial" w:hAnsi="Arial"/>
          <w:sz w:val="18"/>
          <w:szCs w:val="18"/>
          <w:color w:val="auto"/>
        </w:rPr>
        <w:t>Our operations have consumed substantial amounts of cash since inception. We expect to continue to spend substantial amounts to continue the preclinical and clinical development of our current and future programs. If we are able to gain marketing approval for our product candidates, we will require significant cash in order to launch and commercialize such product candidates to the extent that such launch and commercialization are not the responsibility of a future collaborator that we may contract with.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2" w:lineRule="exact"/>
        <w:rPr>
          <w:sz w:val="20"/>
          <w:szCs w:val="20"/>
          <w:color w:val="auto"/>
        </w:rPr>
      </w:pPr>
    </w:p>
    <w:p>
      <w:pPr>
        <w:ind w:left="640" w:right="100" w:hanging="314"/>
        <w:spacing w:after="0" w:line="27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product candidates and other product candidates we may develop and pursue, including drug product manufacturing;</w:t>
      </w:r>
    </w:p>
    <w:p>
      <w:pPr>
        <w:spacing w:after="0" w:line="56" w:lineRule="exact"/>
        <w:rPr>
          <w:rFonts w:ascii="Arial" w:cs="Arial" w:eastAsia="Arial" w:hAnsi="Arial"/>
          <w:sz w:val="18"/>
          <w:szCs w:val="18"/>
          <w:color w:val="auto"/>
        </w:rPr>
      </w:pPr>
    </w:p>
    <w:p>
      <w:pPr>
        <w:ind w:left="640" w:right="300" w:hanging="314"/>
        <w:spacing w:after="0" w:line="27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uncertainty of, and the costs involved in, obtaining marketing approvals for our current product candidates, and other product candidates we may develop and pursue;</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jurisdictions in which we plan to seek regulatory approvals;</w:t>
      </w:r>
    </w:p>
    <w:p>
      <w:pPr>
        <w:spacing w:after="0" w:line="112" w:lineRule="exact"/>
        <w:rPr>
          <w:rFonts w:ascii="Arial" w:cs="Arial" w:eastAsia="Arial" w:hAnsi="Arial"/>
          <w:sz w:val="18"/>
          <w:szCs w:val="18"/>
          <w:color w:val="auto"/>
        </w:rPr>
      </w:pPr>
    </w:p>
    <w:p>
      <w:pPr>
        <w:ind w:left="640" w:right="120" w:hanging="314"/>
        <w:spacing w:after="0" w:line="26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approved, the costs of commercialization activities for our product candidates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70" w:lineRule="exact"/>
        <w:rPr>
          <w:rFonts w:ascii="Arial" w:cs="Arial" w:eastAsia="Arial" w:hAnsi="Arial"/>
          <w:sz w:val="18"/>
          <w:szCs w:val="18"/>
          <w:color w:val="auto"/>
        </w:rPr>
      </w:pPr>
    </w:p>
    <w:p>
      <w:pPr>
        <w:ind w:left="640" w:right="220" w:hanging="314"/>
        <w:spacing w:after="0" w:line="27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of our product candidates for any approved indications or any other product candidates;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other products, product candidates or technologies;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12" w:lineRule="exact"/>
        <w:rPr>
          <w:rFonts w:ascii="Arial" w:cs="Arial" w:eastAsia="Arial" w:hAnsi="Arial"/>
          <w:sz w:val="18"/>
          <w:szCs w:val="18"/>
          <w:color w:val="auto"/>
        </w:rPr>
      </w:pPr>
    </w:p>
    <w:p>
      <w:pPr>
        <w:ind w:left="640" w:right="680" w:hanging="314"/>
        <w:spacing w:after="0" w:line="27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 related claims; and</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ongoing costs of operating as a public company.</w:t>
      </w:r>
    </w:p>
    <w:p>
      <w:pPr>
        <w:spacing w:after="0" w:line="112" w:lineRule="exact"/>
        <w:rPr>
          <w:sz w:val="20"/>
          <w:szCs w:val="20"/>
          <w:color w:val="auto"/>
        </w:rPr>
      </w:pPr>
    </w:p>
    <w:p>
      <w:pPr>
        <w:ind w:right="100" w:firstLine="439"/>
        <w:spacing w:after="0" w:line="254" w:lineRule="auto"/>
        <w:rPr>
          <w:sz w:val="20"/>
          <w:szCs w:val="20"/>
          <w:color w:val="auto"/>
        </w:rPr>
      </w:pPr>
      <w:r>
        <w:rPr>
          <w:rFonts w:ascii="Arial" w:cs="Arial" w:eastAsia="Arial" w:hAnsi="Arial"/>
          <w:sz w:val="18"/>
          <w:szCs w:val="18"/>
          <w:color w:val="auto"/>
        </w:rPr>
        <w:t>We cannot be certain that additional funding will be available on acceptable terms, or at all. We have no committed source of additional capital and if we are unable to raise additional capital, if needed,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76"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We believe that our current cash, cash equivalents and marketable securities will be sufficient to fund our operating expenditures and capital expenditure requirements into 2028.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75" w:lineRule="exact"/>
        <w:rPr>
          <w:sz w:val="20"/>
          <w:szCs w:val="20"/>
          <w:color w:val="auto"/>
        </w:rPr>
      </w:pPr>
    </w:p>
    <w:p>
      <w:pPr>
        <w:ind w:right="400"/>
        <w:spacing w:after="0" w:line="28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76" w:lineRule="exact"/>
        <w:rPr>
          <w:sz w:val="20"/>
          <w:szCs w:val="20"/>
          <w:color w:val="auto"/>
        </w:rPr>
      </w:pPr>
    </w:p>
    <w:p>
      <w:pPr>
        <w:ind w:right="180" w:firstLine="439"/>
        <w:spacing w:after="0" w:line="251" w:lineRule="auto"/>
        <w:rPr>
          <w:sz w:val="20"/>
          <w:szCs w:val="20"/>
          <w:color w:val="auto"/>
        </w:rPr>
      </w:pPr>
      <w:r>
        <w:rPr>
          <w:rFonts w:ascii="Arial" w:cs="Arial" w:eastAsia="Arial" w:hAnsi="Arial"/>
          <w:sz w:val="18"/>
          <w:szCs w:val="18"/>
          <w:color w:val="auto"/>
        </w:rPr>
        <w:t>To the extent that we raise additional capital through the sale of common stock, convertible securities or other equity securities, our existing stockholders' ownership interests may be diluted, and the terms of these securities could include liquidation or other preferences and anti-dilution protections that could adversely affect the rights of our stockholders.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79"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If we raise additional funds through collaborations or marketing, distribution, licensing and royalty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6" w:lineRule="exact"/>
        <w:rPr>
          <w:sz w:val="20"/>
          <w:szCs w:val="20"/>
          <w:color w:val="auto"/>
        </w:rPr>
      </w:pPr>
    </w:p>
    <w:p>
      <w:pPr>
        <w:ind w:right="160"/>
        <w:spacing w:after="0" w:line="288"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which may make it difficult to evaluate our current business and predict our future success and viability.</w:t>
      </w:r>
    </w:p>
    <w:p>
      <w:pPr>
        <w:spacing w:after="0" w:line="36"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Since we commenced operations in 2016, we have been focused on developing and conducting preclinical and clinical studies of our product candidates. To date, we have not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w:t>
      </w:r>
    </w:p>
    <w:p>
      <w:pPr>
        <w:spacing w:after="0" w:line="112" w:lineRule="exact"/>
        <w:rPr>
          <w:sz w:val="20"/>
          <w:szCs w:val="20"/>
          <w:color w:val="auto"/>
        </w:rPr>
      </w:pPr>
    </w:p>
    <w:p>
      <w:pPr>
        <w:ind w:right="240" w:firstLine="439"/>
        <w:spacing w:after="0" w:line="256" w:lineRule="auto"/>
        <w:rPr>
          <w:sz w:val="20"/>
          <w:szCs w:val="20"/>
          <w:color w:val="auto"/>
        </w:rPr>
      </w:pPr>
      <w:r>
        <w:rPr>
          <w:rFonts w:ascii="Arial" w:cs="Arial" w:eastAsia="Arial" w:hAnsi="Arial"/>
          <w:sz w:val="18"/>
          <w:szCs w:val="18"/>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our product candidates. Our ability to generate revenue and achieve profitability depends on many factors, including:</w:t>
      </w:r>
    </w:p>
    <w:p>
      <w:pPr>
        <w:spacing w:after="0" w:line="75" w:lineRule="exact"/>
        <w:rPr>
          <w:sz w:val="20"/>
          <w:szCs w:val="20"/>
          <w:color w:val="auto"/>
        </w:rPr>
      </w:pPr>
    </w:p>
    <w:p>
      <w:pPr>
        <w:ind w:left="640" w:hanging="31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initiating and successfully completing research and preclinical and clinical development of our product candidates;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regulatory approvals for product candidates for which we successfully complete clinical development and clinical trials, if any;</w:t>
      </w:r>
    </w:p>
    <w:p>
      <w:pPr>
        <w:spacing w:after="0" w:line="124" w:lineRule="exact"/>
        <w:rPr>
          <w:rFonts w:ascii="Arial" w:cs="Arial" w:eastAsia="Arial" w:hAnsi="Arial"/>
          <w:sz w:val="17"/>
          <w:szCs w:val="17"/>
          <w:color w:val="auto"/>
        </w:rPr>
      </w:pPr>
    </w:p>
    <w:p>
      <w:pPr>
        <w:ind w:left="640" w:right="80" w:hanging="314"/>
        <w:spacing w:after="0" w:line="26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commercial demand of our product candidates;</w:t>
      </w:r>
    </w:p>
    <w:p>
      <w:pPr>
        <w:spacing w:after="0" w:line="70" w:lineRule="exact"/>
        <w:rPr>
          <w:rFonts w:ascii="Arial" w:cs="Arial" w:eastAsia="Arial" w:hAnsi="Arial"/>
          <w:sz w:val="18"/>
          <w:szCs w:val="18"/>
          <w:color w:val="auto"/>
        </w:rPr>
      </w:pPr>
    </w:p>
    <w:p>
      <w:pPr>
        <w:ind w:left="640" w:hanging="31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2" w:lineRule="exact"/>
        <w:rPr>
          <w:rFonts w:ascii="Arial" w:cs="Arial" w:eastAsia="Arial" w:hAnsi="Arial"/>
          <w:sz w:val="18"/>
          <w:szCs w:val="18"/>
          <w:color w:val="auto"/>
        </w:rPr>
      </w:pPr>
    </w:p>
    <w:p>
      <w:pPr>
        <w:ind w:left="640" w:right="140" w:hanging="314"/>
        <w:spacing w:after="0" w:line="276"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approval, if any, either by collaborating with a partner or, if launched independently, by establishing a sales, marketing and distribution infrastructure;</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and maintaining an adequate price for our product candidates in the countries where our products are commercialized, if any;</w:t>
      </w:r>
    </w:p>
    <w:p>
      <w:pPr>
        <w:spacing w:after="0" w:line="124" w:lineRule="exact"/>
        <w:rPr>
          <w:rFonts w:ascii="Arial" w:cs="Arial" w:eastAsia="Arial" w:hAnsi="Arial"/>
          <w:sz w:val="17"/>
          <w:szCs w:val="17"/>
          <w:color w:val="auto"/>
        </w:rPr>
      </w:pPr>
    </w:p>
    <w:p>
      <w:pPr>
        <w:ind w:left="640" w:hanging="31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31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receiving milestone and other payments under any future collaboration arrangements;</w:t>
      </w:r>
    </w:p>
    <w:p>
      <w:pPr>
        <w:spacing w:after="0" w:line="112" w:lineRule="exact"/>
        <w:rPr>
          <w:rFonts w:ascii="Arial" w:cs="Arial" w:eastAsia="Arial" w:hAnsi="Arial"/>
          <w:sz w:val="18"/>
          <w:szCs w:val="18"/>
          <w:color w:val="auto"/>
        </w:rPr>
      </w:pPr>
    </w:p>
    <w:p>
      <w:pPr>
        <w:ind w:left="640" w:right="80" w:hanging="314"/>
        <w:spacing w:after="0" w:line="27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 and</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2"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80" w:lineRule="exact"/>
        <w:rPr>
          <w:sz w:val="20"/>
          <w:szCs w:val="20"/>
          <w:color w:val="auto"/>
        </w:rPr>
      </w:pPr>
    </w:p>
    <w:p>
      <w:pPr>
        <w:ind w:right="200"/>
        <w:spacing w:after="0" w:line="288" w:lineRule="auto"/>
        <w:rPr>
          <w:sz w:val="20"/>
          <w:szCs w:val="20"/>
          <w:color w:val="auto"/>
        </w:rPr>
      </w:pPr>
      <w:r>
        <w:rPr>
          <w:rFonts w:ascii="Arial" w:cs="Arial" w:eastAsia="Arial" w:hAnsi="Arial"/>
          <w:sz w:val="18"/>
          <w:szCs w:val="18"/>
          <w:b w:val="1"/>
          <w:bCs w:val="1"/>
          <w:i w:val="1"/>
          <w:iCs w:val="1"/>
          <w:color w:val="auto"/>
        </w:rPr>
        <w:t>We may expend our limited resources on programs that do not yield a successful product candidate or fail to capitalize on product candidates or indications that may be more profitable or for which there is a greater likelihood of success.</w:t>
      </w:r>
    </w:p>
    <w:p>
      <w:pPr>
        <w:spacing w:after="0" w:line="36" w:lineRule="exact"/>
        <w:rPr>
          <w:sz w:val="20"/>
          <w:szCs w:val="20"/>
          <w:color w:val="auto"/>
        </w:rPr>
      </w:pPr>
    </w:p>
    <w:p>
      <w:pPr>
        <w:ind w:right="20" w:firstLine="439"/>
        <w:spacing w:after="0" w:line="266" w:lineRule="auto"/>
        <w:rPr>
          <w:sz w:val="20"/>
          <w:szCs w:val="20"/>
          <w:color w:val="auto"/>
        </w:rPr>
      </w:pPr>
      <w:r>
        <w:rPr>
          <w:rFonts w:ascii="Arial" w:cs="Arial" w:eastAsia="Arial" w:hAnsi="Arial"/>
          <w:sz w:val="17"/>
          <w:szCs w:val="17"/>
          <w:color w:val="auto"/>
        </w:rPr>
        <w:t>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We are currently evaluating (i) ulixacaltamide for the treatment of essential tremor, or ET, (ii) relutrigine for the treatment of SCN2A developmental and epileptic encephalopathy, or SCN2A-DEE, SCN8A-DEE, and broader DEEs; (iii) vormatrigine for the treatment of common epilepsies, including focal onset seizures and generalized epilepsy, and (iv) elsunersen for the treatment of early onset SCN2A-DEE. Our drug development strategy is to clinically test and seek regulatory approval for our product candidates in indications in which we believe we will be able to efficiently generate proof-of-concept data. If any of our product candidates are approved, we then intend to expand to clinical testing and potentially seek regulatory approvals in other neurological disease indications based on genetic and mechanistic overlap with the primary indication. However, even if our product candidates are able to gain regulatory approval in one indication, there is no guarantee that we will be able to gain regulatory approval in another indication or expand to other indications.</w:t>
      </w:r>
    </w:p>
    <w:p>
      <w:pPr>
        <w:spacing w:after="0" w:line="70" w:lineRule="exact"/>
        <w:rPr>
          <w:sz w:val="20"/>
          <w:szCs w:val="20"/>
          <w:color w:val="auto"/>
        </w:rPr>
      </w:pPr>
    </w:p>
    <w:p>
      <w:pPr>
        <w:ind w:right="60" w:firstLine="439"/>
        <w:spacing w:after="0" w:line="249" w:lineRule="auto"/>
        <w:rPr>
          <w:sz w:val="20"/>
          <w:szCs w:val="20"/>
          <w:color w:val="auto"/>
        </w:rPr>
      </w:pPr>
      <w:r>
        <w:rPr>
          <w:rFonts w:ascii="Arial" w:cs="Arial" w:eastAsia="Arial" w:hAnsi="Arial"/>
          <w:sz w:val="18"/>
          <w:szCs w:val="18"/>
          <w:color w:val="auto"/>
        </w:rPr>
        <w:t>In addition, we may focus resources on pursuing indications outside of neurology based on the same strategic approach (</w:t>
      </w:r>
      <w:r>
        <w:rPr>
          <w:rFonts w:ascii="Arial" w:cs="Arial" w:eastAsia="Arial" w:hAnsi="Arial"/>
          <w:sz w:val="18"/>
          <w:szCs w:val="18"/>
          <w:i w:val="1"/>
          <w:iCs w:val="1"/>
          <w:color w:val="auto"/>
        </w:rPr>
        <w:t>e.g.</w:t>
      </w:r>
      <w:r>
        <w:rPr>
          <w:rFonts w:ascii="Arial" w:cs="Arial" w:eastAsia="Arial" w:hAnsi="Arial"/>
          <w:sz w:val="18"/>
          <w:szCs w:val="18"/>
          <w:color w:val="auto"/>
        </w:rPr>
        <w:t>, human genetics, mechanistic rationale, the availability of translational tools, clinical development path, commercial opportunity) we utilize in determining on which of our discovery programs to focus.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Additionally, we may reprioritize product candidate development plans and activities at any time and delay or terminate development of any product candidates we identify.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neurological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80" w:lineRule="exact"/>
        <w:rPr>
          <w:sz w:val="20"/>
          <w:szCs w:val="20"/>
          <w:color w:val="auto"/>
        </w:rPr>
      </w:pPr>
    </w:p>
    <w:p>
      <w:pPr>
        <w:ind w:right="4400"/>
        <w:spacing w:after="0" w:line="371" w:lineRule="auto"/>
        <w:rPr>
          <w:sz w:val="20"/>
          <w:szCs w:val="20"/>
          <w:color w:val="auto"/>
        </w:rPr>
      </w:pPr>
      <w:r>
        <w:rPr>
          <w:rFonts w:ascii="Arial" w:cs="Arial" w:eastAsia="Arial" w:hAnsi="Arial"/>
          <w:sz w:val="18"/>
          <w:szCs w:val="18"/>
          <w:b w:val="1"/>
          <w:bCs w:val="1"/>
          <w:color w:val="auto"/>
        </w:rPr>
        <w:t xml:space="preserve">Risks Related to Research and Development and the Biopharmaceutical Industry </w:t>
      </w:r>
      <w:r>
        <w:rPr>
          <w:rFonts w:ascii="Arial" w:cs="Arial" w:eastAsia="Arial" w:hAnsi="Arial"/>
          <w:sz w:val="18"/>
          <w:szCs w:val="18"/>
          <w:u w:val="single" w:color="auto"/>
          <w:color w:val="auto"/>
        </w:rPr>
        <w:t>Risks Related to Preclinical and Clinical Development</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i w:val="1"/>
          <w:iCs w:val="1"/>
          <w:color w:val="auto"/>
        </w:rPr>
        <w:t>The development and commercialization of drug products is subject to extensive regulation, and the regulatory approval processes of the FDA and comparable foreign regulatory authorities are lengthy, time-consuming, and inherently unpredictable. If we are ultimately unable to obtain regulatory approval for our product candidates on a timely basis if at all, our business will be substantially harmed.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In the United States, obtaining marketing approval for a new drug requires the submission of a New Drug Application, or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 Although we have submitted NDAs for ulixacaltmide for the treatment of ET and relutrigine for the treatment of SCN2A and SCN8A DEEs to the FDA, we cannot be certain that any of our product candidates will receive regulatory approval from the FDA or comparable foreign authorities.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2" w:lineRule="exact"/>
        <w:rPr>
          <w:sz w:val="20"/>
          <w:szCs w:val="20"/>
          <w:color w:val="auto"/>
        </w:rPr>
      </w:pPr>
    </w:p>
    <w:p>
      <w:pPr>
        <w:ind w:left="640" w:hanging="31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2" w:lineRule="exact"/>
        <w:rPr>
          <w:rFonts w:ascii="Arial" w:cs="Arial" w:eastAsia="Arial" w:hAnsi="Arial"/>
          <w:sz w:val="18"/>
          <w:szCs w:val="18"/>
          <w:color w:val="auto"/>
        </w:rPr>
      </w:pPr>
    </w:p>
    <w:p>
      <w:pPr>
        <w:ind w:left="640" w:right="140" w:hanging="314"/>
        <w:spacing w:after="0" w:line="276"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56" w:lineRule="exact"/>
        <w:rPr>
          <w:rFonts w:ascii="Arial" w:cs="Arial" w:eastAsia="Arial" w:hAnsi="Arial"/>
          <w:sz w:val="18"/>
          <w:szCs w:val="18"/>
          <w:color w:val="auto"/>
        </w:rPr>
      </w:pPr>
    </w:p>
    <w:p>
      <w:pPr>
        <w:ind w:left="640" w:right="520" w:hanging="314"/>
        <w:spacing w:after="0" w:line="276"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2" w:lineRule="exact"/>
        <w:rPr>
          <w:rFonts w:ascii="Arial" w:cs="Arial" w:eastAsia="Arial" w:hAnsi="Arial"/>
          <w:sz w:val="18"/>
          <w:szCs w:val="18"/>
          <w:color w:val="auto"/>
        </w:rPr>
      </w:pPr>
    </w:p>
    <w:p>
      <w:pPr>
        <w:ind w:left="640" w:right="340" w:hanging="314"/>
        <w:spacing w:after="0" w:line="276"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56" w:lineRule="exact"/>
        <w:rPr>
          <w:rFonts w:ascii="Arial" w:cs="Arial" w:eastAsia="Arial" w:hAnsi="Arial"/>
          <w:sz w:val="18"/>
          <w:szCs w:val="18"/>
          <w:color w:val="auto"/>
        </w:rPr>
      </w:pPr>
    </w:p>
    <w:p>
      <w:pPr>
        <w:ind w:left="640" w:right="220" w:hanging="314"/>
        <w:spacing w:after="0" w:line="26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w:t>
      </w:r>
    </w:p>
    <w:p>
      <w:pPr>
        <w:spacing w:after="0" w:line="70" w:lineRule="exact"/>
        <w:rPr>
          <w:rFonts w:ascii="Arial" w:cs="Arial" w:eastAsia="Arial" w:hAnsi="Arial"/>
          <w:sz w:val="18"/>
          <w:szCs w:val="18"/>
          <w:color w:val="auto"/>
        </w:rPr>
      </w:pPr>
    </w:p>
    <w:p>
      <w:pPr>
        <w:ind w:left="640" w:right="340" w:hanging="314"/>
        <w:spacing w:after="0" w:line="276"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56" w:lineRule="exact"/>
        <w:rPr>
          <w:rFonts w:ascii="Arial" w:cs="Arial" w:eastAsia="Arial" w:hAnsi="Arial"/>
          <w:sz w:val="18"/>
          <w:szCs w:val="18"/>
          <w:color w:val="auto"/>
        </w:rPr>
      </w:pPr>
    </w:p>
    <w:p>
      <w:pPr>
        <w:ind w:left="640" w:right="500" w:hanging="314"/>
        <w:spacing w:after="0" w:line="276"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56" w:lineRule="exact"/>
        <w:rPr>
          <w:sz w:val="20"/>
          <w:szCs w:val="20"/>
          <w:color w:val="auto"/>
        </w:rPr>
      </w:pPr>
    </w:p>
    <w:p>
      <w:pPr>
        <w:ind w:right="40" w:firstLine="439"/>
        <w:spacing w:after="0" w:line="250"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preclinical and 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market our product candidates, if approved. Further, even if we believe the data collected from clinical trials of our product candidates are promising, such data may not be sufficient to support approval by the FDA or any comparable foreign regulatory authority.</w:t>
      </w:r>
    </w:p>
    <w:p>
      <w:pPr>
        <w:spacing w:after="0" w:line="83"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6" w:lineRule="exact"/>
        <w:rPr>
          <w:sz w:val="20"/>
          <w:szCs w:val="20"/>
          <w:color w:val="auto"/>
        </w:rPr>
      </w:pPr>
    </w:p>
    <w:p>
      <w:pPr>
        <w:ind w:right="120" w:firstLine="439"/>
        <w:spacing w:after="0" w:line="276" w:lineRule="auto"/>
        <w:rPr>
          <w:sz w:val="20"/>
          <w:szCs w:val="20"/>
          <w:color w:val="auto"/>
        </w:rPr>
      </w:pPr>
      <w:r>
        <w:rPr>
          <w:rFonts w:ascii="Arial" w:cs="Arial" w:eastAsia="Arial" w:hAnsi="Arial"/>
          <w:sz w:val="17"/>
          <w:szCs w:val="17"/>
          <w:color w:val="auto"/>
        </w:rPr>
        <w:t>In addition, the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On April 26, 2023, the European Commission published a proposal for a new Directive and Regulation to revise the existing pharmaceutical legislation. The European Parliament and the Council of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European Union adopted their respective positions on April 10, 2024 and June 4, 2025 and a common position on the text was agreed upon on December 11, 2025, in the context of subsequent inter-institutional trilogue negotiations. The proposed revisions remain to be adopted, and are not expected to become applicable before 2028 and may however have a significant impact on the pharmaceutical industry and our business in the long term.</w:t>
      </w:r>
    </w:p>
    <w:p>
      <w:pPr>
        <w:spacing w:after="0" w:line="75"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b w:val="1"/>
          <w:bCs w:val="1"/>
          <w:i w:val="1"/>
          <w:iCs w:val="1"/>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55"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pivotal clinical trials typically involve hundreds of patients, have significant costs and take years to complete. A product candidate can fail at any stage of testing, even after observing promising signs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w:t>
      </w:r>
    </w:p>
    <w:p>
      <w:pPr>
        <w:spacing w:after="0" w:line="82" w:lineRule="exact"/>
        <w:rPr>
          <w:sz w:val="20"/>
          <w:szCs w:val="20"/>
          <w:color w:val="auto"/>
        </w:rPr>
      </w:pPr>
    </w:p>
    <w:p>
      <w:pPr>
        <w:jc w:val="both"/>
        <w:ind w:right="40" w:firstLine="439"/>
        <w:spacing w:after="0" w:line="252" w:lineRule="auto"/>
        <w:rPr>
          <w:sz w:val="20"/>
          <w:szCs w:val="20"/>
          <w:color w:val="auto"/>
        </w:rPr>
      </w:pPr>
      <w:r>
        <w:rPr>
          <w:rFonts w:ascii="Arial" w:cs="Arial" w:eastAsia="Arial" w:hAnsi="Arial"/>
          <w:sz w:val="18"/>
          <w:szCs w:val="18"/>
          <w:color w:val="auto"/>
        </w:rPr>
        <w:t>There is typically an extremely high rate of attrition from the failure of product candidates proceeding through clinical trials. Certain of our product candidates failed to meet the primary endpoint in later stage clinical trials and we may in the future have product candidates that fail to show the desired safety and efficacy results in later stage clinical trials despite having progressed through preclinical studies and initial clinical trials. There can be no assurance that any of our future clinical trials will ultimately be successful or support further clinical development of our product candidates. The commencement and rate of completion of preclinical studies and clinical trials for a product candidate may be delayed by many factors, including, for example:</w:t>
      </w:r>
    </w:p>
    <w:p>
      <w:pPr>
        <w:spacing w:after="0" w:line="80" w:lineRule="exact"/>
        <w:rPr>
          <w:sz w:val="20"/>
          <w:szCs w:val="20"/>
          <w:color w:val="auto"/>
        </w:rPr>
      </w:pPr>
    </w:p>
    <w:p>
      <w:pPr>
        <w:ind w:left="640" w:hanging="31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studies;</w:t>
      </w:r>
    </w:p>
    <w:p>
      <w:pPr>
        <w:spacing w:after="0" w:line="112" w:lineRule="exact"/>
        <w:rPr>
          <w:rFonts w:ascii="Arial" w:cs="Arial" w:eastAsia="Arial" w:hAnsi="Arial"/>
          <w:sz w:val="18"/>
          <w:szCs w:val="18"/>
          <w:color w:val="auto"/>
        </w:rPr>
      </w:pPr>
    </w:p>
    <w:p>
      <w:pPr>
        <w:ind w:left="640" w:right="620" w:hanging="314"/>
        <w:spacing w:after="0" w:line="27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the Good Laboratory Practice requirements and other applicable regulations of the FDA and comparable foreign regulatory authorities;</w:t>
      </w:r>
    </w:p>
    <w:p>
      <w:pPr>
        <w:spacing w:after="0" w:line="56" w:lineRule="exact"/>
        <w:rPr>
          <w:rFonts w:ascii="Arial" w:cs="Arial" w:eastAsia="Arial" w:hAnsi="Arial"/>
          <w:sz w:val="18"/>
          <w:szCs w:val="18"/>
          <w:color w:val="auto"/>
        </w:rPr>
      </w:pPr>
    </w:p>
    <w:p>
      <w:pPr>
        <w:ind w:left="640" w:right="60" w:hanging="314"/>
        <w:spacing w:after="0" w:line="27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obtaining approval from independent Institutional Review Boards, or IRBs, or ethics committees at the clinical sites we intend to utilize in our clinical trials;</w:t>
      </w:r>
    </w:p>
    <w:p>
      <w:pPr>
        <w:spacing w:after="0" w:line="56" w:lineRule="exact"/>
        <w:rPr>
          <w:rFonts w:ascii="Arial" w:cs="Arial" w:eastAsia="Arial" w:hAnsi="Arial"/>
          <w:sz w:val="18"/>
          <w:szCs w:val="18"/>
          <w:color w:val="auto"/>
        </w:rPr>
      </w:pPr>
    </w:p>
    <w:p>
      <w:pPr>
        <w:ind w:left="640" w:right="160" w:hanging="314"/>
        <w:spacing w:after="0" w:line="25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75" w:lineRule="exact"/>
        <w:rPr>
          <w:rFonts w:ascii="Arial" w:cs="Arial" w:eastAsia="Arial" w:hAnsi="Arial"/>
          <w:sz w:val="18"/>
          <w:szCs w:val="18"/>
          <w:color w:val="auto"/>
        </w:rPr>
      </w:pPr>
    </w:p>
    <w:p>
      <w:pPr>
        <w:ind w:left="640" w:hanging="31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12" w:lineRule="exact"/>
        <w:rPr>
          <w:rFonts w:ascii="Arial" w:cs="Arial" w:eastAsia="Arial" w:hAnsi="Arial"/>
          <w:sz w:val="18"/>
          <w:szCs w:val="18"/>
          <w:color w:val="auto"/>
        </w:rPr>
      </w:pPr>
    </w:p>
    <w:p>
      <w:pPr>
        <w:ind w:left="640" w:right="280" w:hanging="314"/>
        <w:spacing w:after="0" w:line="27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56" w:lineRule="exact"/>
        <w:rPr>
          <w:rFonts w:ascii="Arial" w:cs="Arial" w:eastAsia="Arial" w:hAnsi="Arial"/>
          <w:sz w:val="18"/>
          <w:szCs w:val="18"/>
          <w:color w:val="auto"/>
        </w:rPr>
      </w:pPr>
    </w:p>
    <w:p>
      <w:pPr>
        <w:ind w:left="640" w:right="480" w:hanging="314"/>
        <w:spacing w:after="0" w:line="27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w:t>
      </w:r>
    </w:p>
    <w:p>
      <w:pPr>
        <w:spacing w:after="0" w:line="112" w:lineRule="exact"/>
        <w:rPr>
          <w:rFonts w:ascii="Arial" w:cs="Arial" w:eastAsia="Arial" w:hAnsi="Arial"/>
          <w:sz w:val="18"/>
          <w:szCs w:val="18"/>
          <w:color w:val="auto"/>
        </w:rPr>
      </w:pPr>
    </w:p>
    <w:p>
      <w:pPr>
        <w:jc w:val="both"/>
        <w:ind w:left="640" w:right="100" w:hanging="314"/>
        <w:spacing w:after="0" w:line="26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70" w:lineRule="exact"/>
        <w:rPr>
          <w:rFonts w:ascii="Arial" w:cs="Arial" w:eastAsia="Arial" w:hAnsi="Arial"/>
          <w:sz w:val="18"/>
          <w:szCs w:val="18"/>
          <w:color w:val="auto"/>
        </w:rPr>
      </w:pPr>
    </w:p>
    <w:p>
      <w:pPr>
        <w:ind w:left="640" w:right="260" w:hanging="314"/>
        <w:spacing w:after="0" w:line="27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caused by operational issues at clinical sites or the use of a decentralized clinical trial model;</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31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w:t>
      </w:r>
    </w:p>
    <w:p>
      <w:pPr>
        <w:spacing w:after="0" w:line="112" w:lineRule="exact"/>
        <w:rPr>
          <w:rFonts w:ascii="Arial" w:cs="Arial" w:eastAsia="Arial" w:hAnsi="Arial"/>
          <w:sz w:val="18"/>
          <w:szCs w:val="18"/>
          <w:color w:val="auto"/>
        </w:rPr>
      </w:pPr>
    </w:p>
    <w:p>
      <w:pPr>
        <w:ind w:left="640" w:right="360" w:hanging="314"/>
        <w:spacing w:after="0" w:line="276"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Good Clinical Practice, or GCP, requirements, or applicable regulatory guidelines in other countries;</w:t>
      </w:r>
    </w:p>
    <w:p>
      <w:pPr>
        <w:spacing w:after="0" w:line="56" w:lineRule="exact"/>
        <w:rPr>
          <w:rFonts w:ascii="Arial" w:cs="Arial" w:eastAsia="Arial" w:hAnsi="Arial"/>
          <w:sz w:val="18"/>
          <w:szCs w:val="18"/>
          <w:color w:val="auto"/>
        </w:rPr>
      </w:pPr>
    </w:p>
    <w:p>
      <w:pPr>
        <w:ind w:left="640" w:right="20" w:hanging="314"/>
        <w:spacing w:after="0" w:line="276"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trials of the same class of agents conducted by other companies;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anticipated;</w:t>
      </w:r>
    </w:p>
    <w:p>
      <w:pPr>
        <w:spacing w:after="0" w:line="112" w:lineRule="exact"/>
        <w:rPr>
          <w:rFonts w:ascii="Arial" w:cs="Arial" w:eastAsia="Arial" w:hAnsi="Arial"/>
          <w:sz w:val="18"/>
          <w:szCs w:val="18"/>
          <w:color w:val="auto"/>
        </w:rPr>
      </w:pPr>
    </w:p>
    <w:p>
      <w:pPr>
        <w:ind w:left="640" w:right="520" w:hanging="314"/>
        <w:spacing w:after="0" w:line="276"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56" w:lineRule="exact"/>
        <w:rPr>
          <w:rFonts w:ascii="Arial" w:cs="Arial" w:eastAsia="Arial" w:hAnsi="Arial"/>
          <w:sz w:val="18"/>
          <w:szCs w:val="18"/>
          <w:color w:val="auto"/>
        </w:rPr>
      </w:pPr>
    </w:p>
    <w:p>
      <w:pPr>
        <w:ind w:left="640" w:right="220" w:hanging="314"/>
        <w:spacing w:after="0" w:line="276"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development and manufacturing organization, or CDMO, and delays or failure by our CDMOs or us to make any necessary changes to such manufacturing process; and</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12"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Before commencing a clinical trial, the FDA or comparable foreign regulatory authorities could raise questions about or concerns with our proposed clinical protocol. For example, the FDA has previously issued clinical holds on certain of our product candidates, and we could not commence the respective clinical trial until such questions or concerns were resolved.</w:t>
      </w:r>
    </w:p>
    <w:p>
      <w:pPr>
        <w:spacing w:after="0" w:line="76" w:lineRule="exact"/>
        <w:rPr>
          <w:sz w:val="20"/>
          <w:szCs w:val="20"/>
          <w:color w:val="auto"/>
        </w:rPr>
      </w:pPr>
    </w:p>
    <w:p>
      <w:pPr>
        <w:ind w:right="80" w:firstLine="439"/>
        <w:spacing w:after="0" w:line="251"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we may need to amend clinical trial protocols that could require us to resubmit our clinical trial protocols to IRBs or ethics committees for reexamination, which may impact the costs, timing or successful completion of a clinical trial.</w:t>
      </w:r>
    </w:p>
    <w:p>
      <w:pPr>
        <w:spacing w:after="0" w:line="79" w:lineRule="exact"/>
        <w:rPr>
          <w:sz w:val="20"/>
          <w:szCs w:val="20"/>
          <w:color w:val="auto"/>
        </w:rPr>
      </w:pPr>
    </w:p>
    <w:p>
      <w:pPr>
        <w:ind w:right="60" w:firstLine="439"/>
        <w:spacing w:after="0" w:line="267" w:lineRule="auto"/>
        <w:rPr>
          <w:sz w:val="20"/>
          <w:szCs w:val="20"/>
          <w:color w:val="auto"/>
        </w:rPr>
      </w:pPr>
      <w:r>
        <w:rPr>
          <w:rFonts w:ascii="Arial" w:cs="Arial" w:eastAsia="Arial" w:hAnsi="Arial"/>
          <w:sz w:val="17"/>
          <w:szCs w:val="17"/>
          <w:color w:val="auto"/>
        </w:rPr>
        <w:t>Some of our trials are, have been, and may in the future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w:t>
      </w:r>
    </w:p>
    <w:p>
      <w:pPr>
        <w:spacing w:after="0" w:line="66" w:lineRule="exact"/>
        <w:rPr>
          <w:sz w:val="20"/>
          <w:szCs w:val="20"/>
          <w:color w:val="auto"/>
        </w:rPr>
      </w:pPr>
    </w:p>
    <w:p>
      <w:pPr>
        <w:ind w:right="720" w:firstLine="439"/>
        <w:spacing w:after="0" w:line="276" w:lineRule="auto"/>
        <w:rPr>
          <w:sz w:val="20"/>
          <w:szCs w:val="20"/>
          <w:color w:val="auto"/>
        </w:rPr>
      </w:pPr>
      <w:r>
        <w:rPr>
          <w:rFonts w:ascii="Arial" w:cs="Arial" w:eastAsia="Arial" w:hAnsi="Arial"/>
          <w:sz w:val="18"/>
          <w:szCs w:val="18"/>
          <w:color w:val="auto"/>
        </w:rPr>
        <w:t>In addition, we have conducted clinical trials of certain of our product candidates, including ulixacaltamide, utilizing novel primary endpoints for which the FDA and other regulatory authorities may have limited experience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interpreting and reviewing. Although we have sought consensus with FDA and other regulatory authorities in connection with the design and implementation of our clinical studies, utilizing novel trial endpoints may increase the risk that the FDA and other regulatory authorities will consider the results from such trials, even if successful, insufficient to establish the safety or efficacy of our product candidates, which could require us to conduct additional studies beyond those we currently contemplate for our product candidates.</w:t>
      </w:r>
    </w:p>
    <w:p>
      <w:pPr>
        <w:spacing w:after="0" w:line="75"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Further, conducting clinical trials in foreign countries, such as the European Union, or EU,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75"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9"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82"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January 31, 2025, and all clinical trials (and related applications) are now fully subject to the provisions of the CTR. Compliance with the CTR requirements by us and our third-party service providers, such as CROs, may impact our developments plans. If we are slow or unable to adapt to changes in existing requirements or the adoption of new requirements or policies governing clinical trials, our development plans may be impacted.</w:t>
      </w:r>
    </w:p>
    <w:p>
      <w:pPr>
        <w:spacing w:after="0" w:line="82" w:lineRule="exact"/>
        <w:rPr>
          <w:sz w:val="20"/>
          <w:szCs w:val="20"/>
          <w:color w:val="auto"/>
        </w:rPr>
      </w:pPr>
    </w:p>
    <w:p>
      <w:pPr>
        <w:ind w:right="220"/>
        <w:spacing w:after="0" w:line="319"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13" w:lineRule="exact"/>
        <w:rPr>
          <w:sz w:val="20"/>
          <w:szCs w:val="20"/>
          <w:color w:val="auto"/>
        </w:rPr>
      </w:pPr>
    </w:p>
    <w:p>
      <w:pPr>
        <w:jc w:val="both"/>
        <w:ind w:right="160" w:firstLine="439"/>
        <w:spacing w:after="0" w:line="268"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w:t>
      </w:r>
    </w:p>
    <w:p>
      <w:pPr>
        <w:ind w:right="460"/>
        <w:spacing w:after="0" w:line="252" w:lineRule="auto"/>
        <w:rPr>
          <w:sz w:val="20"/>
          <w:szCs w:val="20"/>
          <w:color w:val="auto"/>
        </w:rPr>
      </w:pPr>
      <w:r>
        <w:rPr>
          <w:rFonts w:ascii="Arial" w:cs="Arial" w:eastAsia="Arial" w:hAnsi="Arial"/>
          <w:sz w:val="18"/>
          <w:szCs w:val="18"/>
          <w:color w:val="auto"/>
        </w:rPr>
        <w:t>Results of our clinical trials could reveal a high and unacceptable severity and prevalence of side effects or unexpected characteristics. In addition, many compounds that have initially showed promise in clinical or earlier stage testing are later found to cause undesirable or unexpected side effects that prevented further development of the compound. Additionally,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740"/>
        <w:spacing w:after="0" w:line="276" w:lineRule="auto"/>
        <w:rPr>
          <w:sz w:val="20"/>
          <w:szCs w:val="20"/>
          <w:color w:val="auto"/>
        </w:rPr>
      </w:pPr>
      <w:r>
        <w:rPr>
          <w:rFonts w:ascii="Arial" w:cs="Arial" w:eastAsia="Arial" w:hAnsi="Arial"/>
          <w:sz w:val="18"/>
          <w:szCs w:val="18"/>
          <w:color w:val="auto"/>
        </w:rPr>
        <w:t>composition of our product candidates or learnings in preclinical studies or clinical trials may result in contraindications for any product candidates for which we may obtain regulatory approval.</w:t>
      </w:r>
    </w:p>
    <w:p>
      <w:pPr>
        <w:spacing w:after="0" w:line="56"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If unacceptable side effects arise in the development of our product candidates, we, foreign regulatory authorities, or the FDA, the IRBs or DSMBs at the institutions in which our trials are conducted could suspend or terminate our preclinical studies or clinical trials or foreign regulatory authorities or the FDA could order us to cease preclinical studies or clinical trials or deny approval of our product candidates for any or all targeted indications.</w:t>
      </w:r>
    </w:p>
    <w:p>
      <w:pPr>
        <w:spacing w:after="0" w:line="75"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Treatment-emergent side effects that are deemed to be drug-related could also affect patient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76" w:lineRule="exact"/>
        <w:rPr>
          <w:sz w:val="20"/>
          <w:szCs w:val="20"/>
          <w:color w:val="auto"/>
        </w:rPr>
      </w:pPr>
    </w:p>
    <w:p>
      <w:pPr>
        <w:ind w:right="100" w:firstLine="439"/>
        <w:spacing w:after="0" w:line="252" w:lineRule="auto"/>
        <w:rPr>
          <w:sz w:val="20"/>
          <w:szCs w:val="20"/>
          <w:color w:val="auto"/>
        </w:rPr>
      </w:pPr>
      <w:r>
        <w:rPr>
          <w:rFonts w:ascii="Arial" w:cs="Arial" w:eastAsia="Arial" w:hAnsi="Arial"/>
          <w:sz w:val="18"/>
          <w:szCs w:val="18"/>
          <w:color w:val="auto"/>
        </w:rPr>
        <w:t>In addition to side effects caused by our product candidates, the administration process or related procedures of our product candidates could cause adverse side effects, such as the intrathecal or intravitreal administration process or related procedures for antisense oligonucleotide drugs, or ASOs. If any such adverse events occur, our clinical trials could be suspended or terminated. Even if we can demonstrate that adverse events are not product-related, such occurrences could affect patient recruitment or the ability of enrolled patients to complete the clinical trial. Additionally, other ASOs in clinical development utilizing intrathecal delivery could also generate data that could adversely affect the clinical, regulatory or commercial perception of our product candidates.</w:t>
      </w:r>
    </w:p>
    <w:p>
      <w:pPr>
        <w:spacing w:after="0" w:line="80"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Moreover, 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82" w:lineRule="exact"/>
        <w:rPr>
          <w:sz w:val="20"/>
          <w:szCs w:val="20"/>
          <w:color w:val="auto"/>
        </w:rPr>
      </w:pPr>
    </w:p>
    <w:p>
      <w:pPr>
        <w:ind w:left="640" w:hanging="31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contraindications;</w:t>
      </w:r>
    </w:p>
    <w:p>
      <w:pPr>
        <w:spacing w:after="0" w:line="112" w:lineRule="exact"/>
        <w:rPr>
          <w:rFonts w:ascii="Arial" w:cs="Arial" w:eastAsia="Arial" w:hAnsi="Arial"/>
          <w:sz w:val="18"/>
          <w:szCs w:val="18"/>
          <w:color w:val="auto"/>
        </w:rPr>
      </w:pPr>
    </w:p>
    <w:p>
      <w:pPr>
        <w:ind w:left="640" w:right="160" w:hanging="314"/>
        <w:spacing w:after="0" w:line="276"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or change the labeling of the product candidates;</w:t>
      </w:r>
    </w:p>
    <w:p>
      <w:pPr>
        <w:spacing w:after="0" w:line="56" w:lineRule="exact"/>
        <w:rPr>
          <w:rFonts w:ascii="Arial" w:cs="Arial" w:eastAsia="Arial" w:hAnsi="Arial"/>
          <w:sz w:val="18"/>
          <w:szCs w:val="18"/>
          <w:color w:val="auto"/>
        </w:rPr>
      </w:pPr>
    </w:p>
    <w:p>
      <w:pPr>
        <w:ind w:left="640" w:right="180" w:hanging="314"/>
        <w:spacing w:after="0" w:line="26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require a Risk Evaluation and Mitigation Strategy, or REMS, plan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70" w:lineRule="exact"/>
        <w:rPr>
          <w:rFonts w:ascii="Arial" w:cs="Arial" w:eastAsia="Arial" w:hAnsi="Arial"/>
          <w:sz w:val="18"/>
          <w:szCs w:val="18"/>
          <w:color w:val="auto"/>
        </w:rPr>
      </w:pPr>
    </w:p>
    <w:p>
      <w:pPr>
        <w:ind w:left="640" w:hanging="31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2" w:lineRule="exact"/>
        <w:rPr>
          <w:rFonts w:ascii="Arial" w:cs="Arial" w:eastAsia="Arial" w:hAnsi="Arial"/>
          <w:sz w:val="18"/>
          <w:szCs w:val="18"/>
          <w:color w:val="auto"/>
        </w:rPr>
      </w:pPr>
    </w:p>
    <w:p>
      <w:pPr>
        <w:ind w:left="640" w:right="40" w:hanging="314"/>
        <w:spacing w:after="0" w:line="276"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may require us to conduct additional clinical trials or costly post-marketing testing and surveillance to monitor the safety and efficacy of the product;</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2" w:lineRule="exact"/>
        <w:rPr>
          <w:sz w:val="20"/>
          <w:szCs w:val="20"/>
          <w:color w:val="auto"/>
        </w:rPr>
      </w:pPr>
    </w:p>
    <w:p>
      <w:pPr>
        <w:jc w:val="both"/>
        <w:ind w:right="440" w:firstLine="439"/>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70" w:lineRule="exact"/>
        <w:rPr>
          <w:sz w:val="20"/>
          <w:szCs w:val="20"/>
          <w:color w:val="auto"/>
        </w:rPr>
      </w:pPr>
    </w:p>
    <w:p>
      <w:pPr>
        <w:ind w:right="540"/>
        <w:spacing w:after="0" w:line="288" w:lineRule="auto"/>
        <w:rPr>
          <w:sz w:val="20"/>
          <w:szCs w:val="20"/>
          <w:color w:val="auto"/>
        </w:rPr>
      </w:pPr>
      <w:r>
        <w:rPr>
          <w:rFonts w:ascii="Arial" w:cs="Arial" w:eastAsia="Arial" w:hAnsi="Arial"/>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36" w:lineRule="exact"/>
        <w:rPr>
          <w:sz w:val="20"/>
          <w:szCs w:val="20"/>
          <w:color w:val="auto"/>
        </w:rPr>
      </w:pPr>
    </w:p>
    <w:p>
      <w:pPr>
        <w:jc w:val="both"/>
        <w:ind w:right="620" w:firstLine="439"/>
        <w:spacing w:after="0" w:line="261" w:lineRule="auto"/>
        <w:rPr>
          <w:sz w:val="20"/>
          <w:szCs w:val="20"/>
          <w:color w:val="auto"/>
        </w:rPr>
      </w:pPr>
      <w:r>
        <w:rPr>
          <w:rFonts w:ascii="Arial" w:cs="Arial" w:eastAsia="Arial" w:hAnsi="Arial"/>
          <w:sz w:val="18"/>
          <w:szCs w:val="18"/>
          <w:color w:val="auto"/>
        </w:rPr>
        <w:t>We have, and may in the future,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Patient enrollment is affected by many factors, including:</w:t>
      </w:r>
    </w:p>
    <w:p>
      <w:pPr>
        <w:spacing w:after="0" w:line="112" w:lineRule="exact"/>
        <w:rPr>
          <w:sz w:val="20"/>
          <w:szCs w:val="20"/>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2" w:lineRule="exact"/>
        <w:rPr>
          <w:rFonts w:ascii="Arial" w:cs="Arial" w:eastAsia="Arial" w:hAnsi="Arial"/>
          <w:sz w:val="18"/>
          <w:szCs w:val="18"/>
          <w:color w:val="auto"/>
        </w:rPr>
      </w:pPr>
    </w:p>
    <w:p>
      <w:pPr>
        <w:ind w:left="640" w:right="880" w:hanging="314"/>
        <w:spacing w:after="0" w:line="276"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clinical trials focused on rare disease, the small size of the patient population and the potential of a patient being undiagnosed or misdiagnosed;</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2" w:lineRule="exact"/>
        <w:rPr>
          <w:rFonts w:ascii="Arial" w:cs="Arial" w:eastAsia="Arial" w:hAnsi="Arial"/>
          <w:sz w:val="18"/>
          <w:szCs w:val="18"/>
          <w:color w:val="auto"/>
        </w:rPr>
      </w:pPr>
    </w:p>
    <w:p>
      <w:pPr>
        <w:ind w:left="640" w:right="380" w:hanging="314"/>
        <w:spacing w:after="0" w:line="26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70"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112" w:lineRule="exact"/>
        <w:rPr>
          <w:sz w:val="20"/>
          <w:szCs w:val="20"/>
          <w:color w:val="auto"/>
        </w:rPr>
      </w:pPr>
    </w:p>
    <w:p>
      <w:pPr>
        <w:ind w:right="100" w:firstLine="439"/>
        <w:spacing w:after="0" w:line="252"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Such limitations can also impact the diversity of the patient pool, which may also adversely impact our clinical trials or results.</w:t>
      </w:r>
    </w:p>
    <w:p>
      <w:pPr>
        <w:spacing w:after="0" w:line="80"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Our inability to enroll a sufficient number or diversity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80"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5"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From time to time, we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reported. As a result, topline and preliminary data should be viewed with caution until the final data are available.</w:t>
      </w:r>
    </w:p>
    <w:p>
      <w:pPr>
        <w:spacing w:after="0" w:line="79" w:lineRule="exact"/>
        <w:rPr>
          <w:sz w:val="20"/>
          <w:szCs w:val="20"/>
          <w:color w:val="auto"/>
        </w:rPr>
      </w:pPr>
    </w:p>
    <w:p>
      <w:pPr>
        <w:ind w:right="40" w:firstLine="439"/>
        <w:spacing w:after="0" w:line="272" w:lineRule="auto"/>
        <w:rPr>
          <w:sz w:val="20"/>
          <w:szCs w:val="20"/>
          <w:color w:val="auto"/>
        </w:rPr>
      </w:pPr>
      <w:r>
        <w:rPr>
          <w:rFonts w:ascii="Arial" w:cs="Arial" w:eastAsia="Arial" w:hAnsi="Arial"/>
          <w:sz w:val="17"/>
          <w:szCs w:val="17"/>
          <w:color w:val="auto"/>
        </w:rPr>
        <w:t>From time to time, we disclose interim data from our preclinical studies and clinical trials. Interim data from clinical trials that we complete are subject to numerous risks, including statistical risks, methodological risks and operational risks. If interim analyses suggest unexpected results, we may decide to modify the trial design, analytical methods or take other steps in response, which ultimately may or may not lead to a more favorable outcome. Adverse changes between interim data and final data could also significantly harm our business and prospects. Further, additional disclosure of interim data by us or by our competitors in the future could result in volatility in the price of our common stock.</w:t>
      </w:r>
    </w:p>
    <w:p>
      <w:pPr>
        <w:spacing w:after="0" w:line="64"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In addition, the information we choose to publicly disclose regarding a particular study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or clinical trial is typically selected from a more extensive amount of available information.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later, final or actual results, or if others, including the FDA and comparable foreign regulatory authorities, disagree with the conclusions reached, our ability to obtain approval for, and commercialize our product candidates may be harmed, which could harm our business, financial condition, results of operations and prospects.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our product candidates may be smaller than we expect.</w:t>
      </w:r>
    </w:p>
    <w:p>
      <w:pPr>
        <w:spacing w:after="0" w:line="112"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Our estimates of the potential market opportunities in each of our platforms include several key assumptions based on our industry knowledge, industry publications and third-party research reports and other data sources and estimates. There can be no assurance that any of these assumptions are, or will remain, accurate. If the actual markets identified for our product candidates, or for any other product candidate we may develop in the future, is smaller than we expect, our revenues, if any, may be limited and it may be more difficult for us to achieve or maintain profitability.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12" w:lineRule="exact"/>
        <w:rPr>
          <w:sz w:val="20"/>
          <w:szCs w:val="20"/>
          <w:color w:val="auto"/>
        </w:rPr>
      </w:pPr>
    </w:p>
    <w:p>
      <w:pPr>
        <w:ind w:right="520" w:firstLine="439"/>
        <w:spacing w:after="0" w:line="276"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or commercialization for a number of reasons, including:</w:t>
      </w:r>
    </w:p>
    <w:p>
      <w:pPr>
        <w:spacing w:after="0" w:line="56" w:lineRule="exact"/>
        <w:rPr>
          <w:sz w:val="20"/>
          <w:szCs w:val="20"/>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design such product candidates with the pharmacological or pharmacokinetic properties that we desire; or</w:t>
      </w:r>
    </w:p>
    <w:p>
      <w:pPr>
        <w:spacing w:after="0" w:line="112" w:lineRule="exact"/>
        <w:rPr>
          <w:rFonts w:ascii="Arial" w:cs="Arial" w:eastAsia="Arial" w:hAnsi="Arial"/>
          <w:sz w:val="18"/>
          <w:szCs w:val="18"/>
          <w:color w:val="auto"/>
        </w:rPr>
      </w:pPr>
    </w:p>
    <w:p>
      <w:pPr>
        <w:ind w:left="640" w:right="40" w:hanging="314"/>
        <w:spacing w:after="0" w:line="276"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56" w:lineRule="exact"/>
        <w:rPr>
          <w:sz w:val="20"/>
          <w:szCs w:val="20"/>
          <w:color w:val="auto"/>
        </w:rPr>
      </w:pPr>
    </w:p>
    <w:p>
      <w:pPr>
        <w:ind w:right="20" w:firstLine="439"/>
        <w:spacing w:after="0" w:line="261"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70"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We conduct clinical trials for our product candidates in the United States, Europe and other jurisdictions, and the FDA, the European Medicines Agency, or EMA, and applicable foreign regulatory authorities may not accept data from trials conducted outside those respective jurisdictions.</w:t>
      </w:r>
    </w:p>
    <w:p>
      <w:pPr>
        <w:spacing w:after="0" w:line="55" w:lineRule="exact"/>
        <w:rPr>
          <w:sz w:val="20"/>
          <w:szCs w:val="20"/>
          <w:color w:val="auto"/>
        </w:rPr>
      </w:pPr>
    </w:p>
    <w:p>
      <w:pPr>
        <w:ind w:right="40" w:firstLine="439"/>
        <w:spacing w:after="0" w:line="264" w:lineRule="auto"/>
        <w:rPr>
          <w:sz w:val="20"/>
          <w:szCs w:val="20"/>
          <w:color w:val="auto"/>
        </w:rPr>
      </w:pPr>
      <w:r>
        <w:rPr>
          <w:rFonts w:ascii="Arial" w:cs="Arial" w:eastAsia="Arial" w:hAnsi="Arial"/>
          <w:sz w:val="17"/>
          <w:szCs w:val="17"/>
          <w:color w:val="auto"/>
        </w:rPr>
        <w:t>The acceptance of study data from preclinical studies and clinical trials conducted outside the United States may be subject to certain conditions for acceptance. For example, in cases where data from foreign clinical trials are intended to serve as the basis for marketing approval in the United States, regardless of whether the trials were subject to an IND,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review the clinical protocols for the trials, and therefore there is an additional potential risk that the FDA could determine that the trial design or protocol for a non-United States clinical trial was inadequate, which could require us to conduct additional clinical trials.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A Breakthrough Therapy designation from the FDA, even if granted for any of our product candidates, may not lead to a faster development or regulatory review or approval process, and does not increase the likelihood that our product candidates will receive FDA approval.</w:t>
      </w:r>
    </w:p>
    <w:p>
      <w:pPr>
        <w:spacing w:after="0" w:line="5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have obtained Breakthrough Therapy designation from the FDA for relutrigine for the treatment of seizures associated with SCN2A and SCN8A DEEs, and for ulixacaltamide for the treatment of ET, and we may seek additional Breakthrough Therapy designations for our product candidates where we believe the clinical data support such designation.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product candidate sponsor can help to identify the most efficient path for clinical development while minimizing the number of patients placed in ineffective control regimens. Drugs and biologics designated as Breakthrough Therapies also receive the same benefits associated with Fast Track designation, including eligibility for rolling review of a submitted NDA, if the relevant criteria are met.</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or review and does not assure ultimate approval by the FDA. In addition, even if one or more of our product candidates qualify as Breakthrough Therapies, the FDA may later decide that the product candidate no longer meets the conditions for qualification and rescind the designation.</w:t>
      </w:r>
    </w:p>
    <w:p>
      <w:pPr>
        <w:spacing w:after="0" w:line="76"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b w:val="1"/>
          <w:bCs w:val="1"/>
          <w:i w:val="1"/>
          <w:iCs w:val="1"/>
          <w:color w:val="auto"/>
        </w:rPr>
        <w:t>We obtained orphan drug designation for relutrigine and elsunersen and may plan to seek orphan drug designation for additional product candidates, but we may be unable to obtain or maintain such a designation or the benefits associated with orphan drug status, including marketing exclusivity, which may cause our revenue, if any, to be reduced.</w:t>
      </w:r>
    </w:p>
    <w:p>
      <w:pPr>
        <w:spacing w:after="0" w:line="55"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In the United States,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Orphan drug designation must be requested and granted by the FDA before a new NDA is submitted. After the FDA grants orphan drug designation, it will disclose publicly the generic identity of the drug and its potential orphan use. In the EU, the European Commission grants orphan designation on the basis of the EMA’s Committee for Orphan Medicinal Products opinion.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85"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approved indication or use within such disease or condition for seven years, except in limited circumstances, such as a showing of clinical superiority to the product with orphan drug exclusivity with respect to the relevant indication or where the manufacturer is unable to assure sufficient product quantity to meet the needs related to the approved indication or use of the patients with the relevant disease or condition. The applicable exclusivity period is ten years in the EU, but such exclusivity period can be reduced to six years if, at the end of the fifth year, a product no longer meets the criteria for orphan designation or if the product is sufficiently profitable that market exclusivity is no longer justified.</w:t>
      </w:r>
    </w:p>
    <w:p>
      <w:pPr>
        <w:spacing w:after="0" w:line="83" w:lineRule="exact"/>
        <w:rPr>
          <w:sz w:val="20"/>
          <w:szCs w:val="20"/>
          <w:color w:val="auto"/>
        </w:rPr>
      </w:pPr>
    </w:p>
    <w:p>
      <w:pPr>
        <w:ind w:right="240" w:firstLine="439"/>
        <w:spacing w:after="0" w:line="256" w:lineRule="auto"/>
        <w:rPr>
          <w:sz w:val="20"/>
          <w:szCs w:val="20"/>
          <w:color w:val="auto"/>
        </w:rPr>
      </w:pPr>
      <w:r>
        <w:rPr>
          <w:rFonts w:ascii="Arial" w:cs="Arial" w:eastAsia="Arial" w:hAnsi="Arial"/>
          <w:sz w:val="18"/>
          <w:szCs w:val="18"/>
          <w:color w:val="auto"/>
        </w:rPr>
        <w:t>The FDA granted orphan drug designation to relutrigine for the treatment of SCN2A-DEE and SCN8A-DEE, respectively, and to elsunersen for the treatment of SCN2A-DEE. We also obtained orphan designation in the EU for relutrigine for the treatment of SCN2A-DEE and SCN8A-DEE, and for elsunersen for the treatment of SCN2A-DEE. We may seek orphan drug designation for other current and future product candidates.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39"/>
        <w:spacing w:after="0" w:line="249" w:lineRule="auto"/>
        <w:rPr>
          <w:sz w:val="20"/>
          <w:szCs w:val="20"/>
          <w:color w:val="auto"/>
        </w:rPr>
      </w:pPr>
      <w:r>
        <w:rPr>
          <w:rFonts w:ascii="Arial" w:cs="Arial" w:eastAsia="Arial" w:hAnsi="Arial"/>
          <w:sz w:val="18"/>
          <w:szCs w:val="18"/>
          <w:color w:val="auto"/>
        </w:rPr>
        <w:t>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However, during such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grants its consent; or (iii) if the marketing authorization holder of the orphan medicinal product is unable to supply sufficient quantities of product.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w:t>
      </w:r>
    </w:p>
    <w:p>
      <w:pPr>
        <w:spacing w:after="0" w:line="85"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indication or use within the relevant disease or condition if such regulatory authority concludes that the later drug is clinically superior because it is shown to be safer, more effective or makes a major contribution to patient care. Orphan drug exclusivity may also be lost if the FDA or comparable foreign regulatory authority later determines that the initial request for designation was materially defective. In addition, orphan drug exclusivity does not prevent the FDA from approving competing drugs for the same or similar indication or use if they contain a different active ingredient. In addition, if a subsequent drug is approved for marketing for the same or a similar indication or use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80" w:lineRule="exact"/>
        <w:rPr>
          <w:sz w:val="20"/>
          <w:szCs w:val="20"/>
          <w:color w:val="auto"/>
        </w:rPr>
      </w:pPr>
    </w:p>
    <w:p>
      <w:pPr>
        <w:ind w:right="320"/>
        <w:spacing w:after="0" w:line="288" w:lineRule="auto"/>
        <w:rPr>
          <w:sz w:val="20"/>
          <w:szCs w:val="20"/>
          <w:color w:val="auto"/>
        </w:rPr>
      </w:pPr>
      <w:r>
        <w:rPr>
          <w:rFonts w:ascii="Arial" w:cs="Arial" w:eastAsia="Arial" w:hAnsi="Arial"/>
          <w:sz w:val="18"/>
          <w:szCs w:val="18"/>
          <w:b w:val="1"/>
          <w:bCs w:val="1"/>
          <w:i w:val="1"/>
          <w:iCs w:val="1"/>
          <w:color w:val="auto"/>
        </w:rPr>
        <w:t>We received rare pediatric disease designation for relutrigine and elsunersen. However, a marketing application for these product candidates, if approved, may not meet the eligibility criteria for a rare pediatric disease priority review voucher.</w:t>
      </w:r>
    </w:p>
    <w:p>
      <w:pPr>
        <w:spacing w:after="0" w:line="36" w:lineRule="exact"/>
        <w:rPr>
          <w:sz w:val="20"/>
          <w:szCs w:val="20"/>
          <w:color w:val="auto"/>
        </w:rPr>
      </w:pPr>
    </w:p>
    <w:p>
      <w:pPr>
        <w:ind w:right="20" w:firstLine="439"/>
        <w:spacing w:after="0" w:line="268" w:lineRule="auto"/>
        <w:rPr>
          <w:sz w:val="20"/>
          <w:szCs w:val="20"/>
          <w:color w:val="auto"/>
        </w:rPr>
      </w:pPr>
      <w:r>
        <w:rPr>
          <w:rFonts w:ascii="Arial" w:cs="Arial" w:eastAsia="Arial" w:hAnsi="Arial"/>
          <w:sz w:val="17"/>
          <w:szCs w:val="17"/>
          <w:color w:val="auto"/>
        </w:rPr>
        <w:t>In 2012,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64"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We received rare pediatric disease designation for relutrigine for the treatment of SCN2A-DEE, SCN8A-DEE and Dravet syndrome and for elsunersen for the treatment of SCN2A-DEE. Designation of a drug product as a product for a rare pediatric disease does not guarantee that a NDA for such drug product will meet the eligibility criteria for a rare pediatric disease priority review voucher at the time the application is approved, including for the following reasons:</w:t>
      </w:r>
    </w:p>
    <w:p>
      <w:pPr>
        <w:spacing w:after="0" w:line="75" w:lineRule="exact"/>
        <w:rPr>
          <w:sz w:val="20"/>
          <w:szCs w:val="20"/>
          <w:color w:val="auto"/>
        </w:rPr>
      </w:pP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no longer meets the definition of a rare pediatric disease product;</w:t>
      </w:r>
    </w:p>
    <w:p>
      <w:pPr>
        <w:spacing w:after="0" w:line="112" w:lineRule="exact"/>
        <w:rPr>
          <w:rFonts w:ascii="Arial" w:cs="Arial" w:eastAsia="Arial" w:hAnsi="Arial"/>
          <w:sz w:val="18"/>
          <w:szCs w:val="18"/>
          <w:color w:val="auto"/>
        </w:rPr>
      </w:pPr>
    </w:p>
    <w:p>
      <w:pPr>
        <w:ind w:left="640" w:right="460" w:hanging="314"/>
        <w:spacing w:after="0" w:line="27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contains an active ingredient (including any ester or salt of the active ingredient) that has been previously approved in another marketing application;</w:t>
      </w:r>
    </w:p>
    <w:p>
      <w:pPr>
        <w:spacing w:after="0" w:line="56" w:lineRule="exact"/>
        <w:rPr>
          <w:rFonts w:ascii="Arial" w:cs="Arial" w:eastAsia="Arial" w:hAnsi="Arial"/>
          <w:sz w:val="18"/>
          <w:szCs w:val="18"/>
          <w:color w:val="auto"/>
        </w:rPr>
      </w:pPr>
    </w:p>
    <w:p>
      <w:pPr>
        <w:ind w:left="640" w:right="240" w:hanging="314"/>
        <w:spacing w:after="0" w:line="27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application does not rely on clinical data derived from studies examining a pediatric population and dosages of the drug intended for that population;</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application is approved for a different adult indication than the rare pediatric disease for which the product is designated.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Under the Federal Food, Drug, and Cosmetic Act, or FDCA, we will need to request a rare pediatric disease priority review voucher in our NDA for our product candidates for which we have received rare pediatric disease designation. The FDA may determine that a NDA for any such product candidates, if approved, do not meet the eligibility criteria for a priority review voucher.</w:t>
      </w:r>
    </w:p>
    <w:p>
      <w:pPr>
        <w:spacing w:after="0" w:line="70" w:lineRule="exact"/>
        <w:rPr>
          <w:sz w:val="20"/>
          <w:szCs w:val="20"/>
          <w:color w:val="auto"/>
        </w:rPr>
      </w:pPr>
    </w:p>
    <w:p>
      <w:pPr>
        <w:ind w:right="320" w:firstLine="439"/>
        <w:spacing w:after="0" w:line="256" w:lineRule="auto"/>
        <w:rPr>
          <w:sz w:val="20"/>
          <w:szCs w:val="20"/>
          <w:color w:val="auto"/>
        </w:rPr>
      </w:pPr>
      <w:r>
        <w:rPr>
          <w:rFonts w:ascii="Arial" w:cs="Arial" w:eastAsia="Arial" w:hAnsi="Arial"/>
          <w:sz w:val="18"/>
          <w:szCs w:val="18"/>
          <w:color w:val="auto"/>
        </w:rPr>
        <w:t>Moreover, Congress included a sunset provision in the statute authorizing the rare pediatric disease priority review voucher program. Under the current statutory sunset provisions, provided the eligibility criteria are otherwise met, the FDA may only award a voucher for an approved rare pediatric disease product application if the sponsor has rare pediatric disease designation for the product candidate and that designation was granted by September 30, 2029.</w:t>
      </w:r>
    </w:p>
    <w:p>
      <w:pPr>
        <w:spacing w:after="0" w:line="75"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We received PRIME designation by the EMA for elsunersen and we may seek PRIME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62" w:lineRule="exact"/>
        <w:rPr>
          <w:sz w:val="20"/>
          <w:szCs w:val="20"/>
          <w:color w:val="auto"/>
        </w:rPr>
      </w:pPr>
    </w:p>
    <w:p>
      <w:pPr>
        <w:ind w:right="20" w:firstLine="439"/>
        <w:spacing w:after="0" w:line="250" w:lineRule="auto"/>
        <w:rPr>
          <w:sz w:val="20"/>
          <w:szCs w:val="20"/>
          <w:color w:val="auto"/>
        </w:rPr>
      </w:pPr>
      <w:r>
        <w:rPr>
          <w:rFonts w:ascii="Arial" w:cs="Arial" w:eastAsia="Arial" w:hAnsi="Arial"/>
          <w:sz w:val="18"/>
          <w:szCs w:val="18"/>
          <w:color w:val="auto"/>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83"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In November 2023, elsunersen was granted PRIME designation by the EMA’s Committee for Medicinal Products for Human Use, or CHMP, for the treatment of SCN2A-DEE. Acknowledging that elsunersen targets an unmet medical need, the EMA offers enhanced support in the development of the medicinal product through enhanced interaction and early dialogue to optimize our development plans and speed up regulatory evaluation in the EU. The PRIME designation does not, however, guarantee that the regulatory review process in the EU will be shorter or less demanding. Neither does the PRIME designation guarantee that the European Commission will grant a marketing authorization for elsunersen.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Re</w:t>
      </w:r>
      <w:r>
        <w:rPr>
          <w:rFonts w:ascii="Arial" w:cs="Arial" w:eastAsia="Arial" w:hAnsi="Arial"/>
          <w:sz w:val="18"/>
          <w:szCs w:val="18"/>
          <w:color w:val="auto"/>
        </w:rPr>
        <w:t>g</w:t>
      </w:r>
      <w:r>
        <w:rPr>
          <w:rFonts w:ascii="Arial" w:cs="Arial" w:eastAsia="Arial" w:hAnsi="Arial"/>
          <w:sz w:val="18"/>
          <w:szCs w:val="18"/>
          <w:u w:val="single" w:color="auto"/>
          <w:color w:val="auto"/>
        </w:rPr>
        <w:t>ulatory Approval</w:t>
      </w:r>
    </w:p>
    <w:p>
      <w:pPr>
        <w:spacing w:after="0" w:line="112" w:lineRule="exact"/>
        <w:rPr>
          <w:sz w:val="20"/>
          <w:szCs w:val="20"/>
          <w:color w:val="auto"/>
        </w:rPr>
      </w:pPr>
    </w:p>
    <w:p>
      <w:pPr>
        <w:ind w:right="880"/>
        <w:spacing w:after="0" w:line="288"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6" w:lineRule="exact"/>
        <w:rPr>
          <w:sz w:val="20"/>
          <w:szCs w:val="20"/>
          <w:color w:val="auto"/>
        </w:rPr>
      </w:pPr>
    </w:p>
    <w:p>
      <w:pPr>
        <w:ind w:right="160" w:firstLine="439"/>
        <w:spacing w:after="0" w:line="250"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comparable regulatory authorities in other jurisdictions must also approve the manufacturing, marketing and sale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also be approved for reimbursement before it can be approved for sale in that jurisdiction. In some cases, the price that we intend to charge for our products is also subject to governmental approval.</w:t>
      </w:r>
    </w:p>
    <w:p>
      <w:pPr>
        <w:spacing w:after="0" w:line="83"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75" w:lineRule="exact"/>
        <w:rPr>
          <w:sz w:val="20"/>
          <w:szCs w:val="20"/>
          <w:color w:val="auto"/>
        </w:rPr>
      </w:pPr>
    </w:p>
    <w:p>
      <w:pPr>
        <w:ind w:right="40"/>
        <w:spacing w:after="0" w:line="319" w:lineRule="auto"/>
        <w:rPr>
          <w:sz w:val="20"/>
          <w:szCs w:val="20"/>
          <w:color w:val="auto"/>
        </w:rPr>
      </w:pPr>
      <w:r>
        <w:rPr>
          <w:rFonts w:ascii="Arial" w:cs="Arial" w:eastAsia="Arial" w:hAnsi="Arial"/>
          <w:sz w:val="17"/>
          <w:szCs w:val="17"/>
          <w:b w:val="1"/>
          <w:bCs w:val="1"/>
          <w:i w:val="1"/>
          <w:iCs w:val="1"/>
          <w:color w:val="auto"/>
        </w:rPr>
        <w:t>Our product candidates may be regulated as controlled substances, the making, use, sale, importation, exportation, and distribution of which are subject to significant regulation by the U.S. Drug Enforcement Administration, or DEA, and other regulatory agencies.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firstLine="439"/>
        <w:spacing w:after="0" w:line="261" w:lineRule="auto"/>
        <w:rPr>
          <w:sz w:val="20"/>
          <w:szCs w:val="20"/>
          <w:color w:val="auto"/>
        </w:rPr>
      </w:pPr>
      <w:r>
        <w:rPr>
          <w:rFonts w:ascii="Arial" w:cs="Arial" w:eastAsia="Arial" w:hAnsi="Arial"/>
          <w:sz w:val="18"/>
          <w:szCs w:val="18"/>
          <w:color w:val="auto"/>
        </w:rPr>
        <w:t>Our product candidates may be classified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and regulations of the DEA.</w:t>
      </w:r>
    </w:p>
    <w:p>
      <w:pPr>
        <w:spacing w:after="0" w:line="70" w:lineRule="exact"/>
        <w:rPr>
          <w:sz w:val="20"/>
          <w:szCs w:val="20"/>
          <w:color w:val="auto"/>
        </w:rPr>
      </w:pPr>
    </w:p>
    <w:p>
      <w:pPr>
        <w:ind w:right="60" w:firstLine="439"/>
        <w:spacing w:after="0" w:line="269" w:lineRule="auto"/>
        <w:rPr>
          <w:sz w:val="20"/>
          <w:szCs w:val="20"/>
          <w:color w:val="auto"/>
        </w:rPr>
      </w:pPr>
      <w:r>
        <w:rPr>
          <w:rFonts w:ascii="Arial" w:cs="Arial" w:eastAsia="Arial" w:hAnsi="Arial"/>
          <w:sz w:val="17"/>
          <w:szCs w:val="17"/>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Prior to commercialization, centrally acting drugs, such as those we are developing, are generally subject to review and potential scheduling by the DEA. It is possible that our product candidates may be regulated by the DEA as controlled substances, which would subject such product candidates to additional restrictions regarding their manufacture, shipment, storage, sale and use, depending on the scheduling of the active ingredients, and may limit the commercial potential of any of our product candidates, if approved.</w:t>
      </w:r>
    </w:p>
    <w:p>
      <w:pPr>
        <w:spacing w:after="0" w:line="64" w:lineRule="exact"/>
        <w:rPr>
          <w:sz w:val="20"/>
          <w:szCs w:val="20"/>
          <w:color w:val="auto"/>
        </w:rPr>
      </w:pPr>
    </w:p>
    <w:p>
      <w:pPr>
        <w:ind w:right="220" w:firstLine="439"/>
        <w:spacing w:after="0" w:line="269" w:lineRule="auto"/>
        <w:rPr>
          <w:sz w:val="20"/>
          <w:szCs w:val="20"/>
          <w:color w:val="auto"/>
        </w:rPr>
      </w:pPr>
      <w:r>
        <w:rPr>
          <w:rFonts w:ascii="Arial" w:cs="Arial" w:eastAsia="Arial" w:hAnsi="Arial"/>
          <w:sz w:val="17"/>
          <w:szCs w:val="17"/>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 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64"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For any of our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 candidates that are classified as controlled substances.</w:t>
      </w:r>
    </w:p>
    <w:p>
      <w:pPr>
        <w:spacing w:after="0" w:line="8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62"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by us and any collaborators in clinical trials may expose us to liability claims. We will face an even greater risk if product candidates are approved by regulatory authorities and introduced commercially. Product liability claims may be brought against us or our partners if any product candidate we develop allegedly causes injury or is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 care providers, biopharmaceutical companies, our collaborators or others using, administering or selling any of our future approved products. If we cannot successfully defend ourselves against any such claims, we may incur substantial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liabilities or be required to limit commercialization of our product candidates. Even successful defense would require significant financial and management resources.</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Regardless of the merits or eventual outcome, product liability claims may result in:</w:t>
      </w:r>
    </w:p>
    <w:p>
      <w:pPr>
        <w:spacing w:after="0" w:line="112" w:lineRule="exact"/>
        <w:rPr>
          <w:sz w:val="20"/>
          <w:szCs w:val="20"/>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any approved drug products may be used;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12"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79"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Although we maintain product liability insurance coverage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62"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5" w:lineRule="exact"/>
        <w:rPr>
          <w:sz w:val="20"/>
          <w:szCs w:val="20"/>
          <w:color w:val="auto"/>
        </w:rPr>
      </w:pPr>
    </w:p>
    <w:p>
      <w:pPr>
        <w:ind w:right="380" w:firstLine="439"/>
        <w:spacing w:after="0" w:line="276" w:lineRule="auto"/>
        <w:rPr>
          <w:sz w:val="20"/>
          <w:szCs w:val="20"/>
          <w:color w:val="auto"/>
        </w:rPr>
      </w:pPr>
      <w:r>
        <w:rPr>
          <w:rFonts w:ascii="Arial" w:cs="Arial" w:eastAsia="Arial" w:hAnsi="Arial"/>
          <w:sz w:val="17"/>
          <w:szCs w:val="17"/>
          <w:color w:val="auto"/>
        </w:rPr>
        <w:t>Specifically, we face competition with approved therapies for ET, such as propranolol, and off-label therapies, such as primidone; and sodium channel blocker or similar ion channel-targeting programs in development for common epilepsies, including those of SK-Pharma, Xenon Pharmaceuticals, and Biohaven Pharmaceuticals, as well as other programs in clinical development targeting other mechanisms of action including those from Lundbeck, and Stoke Therapeutics, and approved therapies including other existing ion channel blockers.</w:t>
      </w:r>
    </w:p>
    <w:p>
      <w:pPr>
        <w:spacing w:after="0" w:line="59" w:lineRule="exact"/>
        <w:rPr>
          <w:sz w:val="20"/>
          <w:szCs w:val="20"/>
          <w:color w:val="auto"/>
        </w:rPr>
      </w:pPr>
    </w:p>
    <w:p>
      <w:pPr>
        <w:ind w:right="100" w:firstLine="439"/>
        <w:spacing w:after="0" w:line="261" w:lineRule="auto"/>
        <w:rPr>
          <w:sz w:val="20"/>
          <w:szCs w:val="20"/>
          <w:color w:val="auto"/>
        </w:rPr>
      </w:pPr>
      <w:r>
        <w:rPr>
          <w:rFonts w:ascii="Arial" w:cs="Arial" w:eastAsia="Arial" w:hAnsi="Arial"/>
          <w:sz w:val="18"/>
          <w:szCs w:val="18"/>
          <w:color w:val="auto"/>
        </w:rPr>
        <w:t>If any of these competitors or competitors for our other product candidates receive FDA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70" w:lineRule="exact"/>
        <w:rPr>
          <w:sz w:val="20"/>
          <w:szCs w:val="20"/>
          <w:color w:val="auto"/>
        </w:rPr>
      </w:pPr>
    </w:p>
    <w:p>
      <w:pPr>
        <w:ind w:right="480" w:firstLine="439"/>
        <w:spacing w:after="0" w:line="276" w:lineRule="auto"/>
        <w:rPr>
          <w:sz w:val="20"/>
          <w:szCs w:val="20"/>
          <w:color w:val="auto"/>
        </w:rPr>
      </w:pPr>
      <w:r>
        <w:rPr>
          <w:rFonts w:ascii="Arial" w:cs="Arial" w:eastAsia="Arial" w:hAnsi="Arial"/>
          <w:sz w:val="18"/>
          <w:szCs w:val="18"/>
          <w:color w:val="auto"/>
        </w:rPr>
        <w:t>Mergers and acquisitions in the biopharmaceutical industry may result in even more resources being concentrated among a smaller number of our competitors. Smaller or early-stage companies may also prove to be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66"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Post-Marketin</w:t>
      </w:r>
      <w:r>
        <w:rPr>
          <w:rFonts w:ascii="Arial" w:cs="Arial" w:eastAsia="Arial" w:hAnsi="Arial"/>
          <w:sz w:val="18"/>
          <w:szCs w:val="18"/>
          <w:color w:val="auto"/>
        </w:rPr>
        <w:t xml:space="preserve">g </w:t>
      </w:r>
      <w:r>
        <w:rPr>
          <w:rFonts w:ascii="Arial" w:cs="Arial" w:eastAsia="Arial" w:hAnsi="Arial"/>
          <w:sz w:val="18"/>
          <w:szCs w:val="18"/>
          <w:u w:val="single" w:color="auto"/>
          <w:color w:val="auto"/>
        </w:rPr>
        <w:t>Regulatory Requirements</w:t>
      </w:r>
    </w:p>
    <w:p>
      <w:pPr>
        <w:spacing w:after="0" w:line="11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2"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Even if the FDA or a comparable foreign regulatory authority approves any of our product candidates, we will be subject to ongoing regulatory requirements in the applicable jurisdictions for manufacturing, labeling, packaging, storage, advertising, promotion, sampling, record-keeping, conduct of post-marketing studies and submission of safety, efficacy and other post-market information. In addition, we will be subject to continued compliance with cGMP or similar regulatory requirements outside the United States and GCP requirements for any clinical trials that we conduct post-approval.</w:t>
      </w:r>
    </w:p>
    <w:p>
      <w:pPr>
        <w:spacing w:after="0" w:line="76"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Manufacturers and their facilities are required to comply with extensive regulatory authority requirements, including ensuring that quality control and manufacturing procedures conform to cGMP or other similar regulations. As such, we and our contract manufacturers will be subject to continual review and inspections to assess compliance with cGMP or similar regulatory requirements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80" w:lineRule="exact"/>
        <w:rPr>
          <w:sz w:val="20"/>
          <w:szCs w:val="20"/>
          <w:color w:val="auto"/>
        </w:rPr>
      </w:pPr>
    </w:p>
    <w:p>
      <w:pPr>
        <w:ind w:right="80" w:firstLine="439"/>
        <w:spacing w:after="0" w:line="251"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Similar requirements may apply in foreign jurisdictions. In addition, if the FDA or a comparable foreign regulatory authority approves our product candidates, we will have to comply with requirements including submissions of safety and other post-marketing information and reports and registration.</w:t>
      </w:r>
    </w:p>
    <w:p>
      <w:pPr>
        <w:spacing w:after="0" w:line="79"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In the United States and elsewhere, the FDA and foreign regulatory authorities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imposition of distribution restrictions or other restrictions under a REMS or similar program. Other potential consequences include, among other things:</w:t>
      </w:r>
    </w:p>
    <w:p>
      <w:pPr>
        <w:spacing w:after="0" w:line="56" w:lineRule="exact"/>
        <w:rPr>
          <w:sz w:val="20"/>
          <w:szCs w:val="20"/>
          <w:color w:val="auto"/>
        </w:rPr>
      </w:pPr>
    </w:p>
    <w:p>
      <w:pPr>
        <w:ind w:left="640" w:hanging="31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manufacturing of our products, the approved manufacturers or the manufacturing process;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product recalls;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or untitled letters from the FDA or comparable notice of violations from foreign regulatory authorities;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suspensions of any of our ongoing clinical trials;</w:t>
      </w:r>
    </w:p>
    <w:p>
      <w:pPr>
        <w:spacing w:after="0" w:line="112" w:lineRule="exact"/>
        <w:rPr>
          <w:rFonts w:ascii="Arial" w:cs="Arial" w:eastAsia="Arial" w:hAnsi="Arial"/>
          <w:sz w:val="18"/>
          <w:szCs w:val="18"/>
          <w:color w:val="auto"/>
        </w:rPr>
      </w:pPr>
    </w:p>
    <w:p>
      <w:pPr>
        <w:ind w:left="640" w:right="220" w:hanging="314"/>
        <w:spacing w:after="0" w:line="27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or foreign regulatory authorities to approve pending applications or supplements to approved applications filed by us or suspension or withdrawal of marketing approvals;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112"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Violations of the FDCA relating to the promotion of prescription drugs may also lead to investigations alleging violations of federal and state health care fraud and abuse laws, as well as state consumer protection laws. Accordingly, to the extent we receive marketing approval for one or more of our product candidates, we and our third-party partners will continue to expend time, money and effort in all areas of regulatory compliance, including promotional and labeling compliance, manufacturing, production, product surveillance and quality control.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79"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6" w:lineRule="exact"/>
        <w:rPr>
          <w:sz w:val="20"/>
          <w:szCs w:val="20"/>
          <w:color w:val="auto"/>
        </w:rPr>
      </w:pPr>
    </w:p>
    <w:p>
      <w:pPr>
        <w:ind w:right="300"/>
        <w:spacing w:after="0" w:line="28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36"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drug products. These regulations include standards and restrictions for direct-to-consumer advertising, industry-sponsored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w:t>
      </w:r>
    </w:p>
    <w:p>
      <w:pPr>
        <w:spacing w:after="0" w:line="75"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While physicians in the United States may choose, and are generally permitted, to prescribe products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Sales, Marketing and Competition</w:t>
      </w:r>
    </w:p>
    <w:p>
      <w:pPr>
        <w:spacing w:after="0" w:line="112"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drug product candidates, if approved, among physicians, patients, third-party payors and other members of the medical community.</w:t>
      </w:r>
    </w:p>
    <w:p>
      <w:pPr>
        <w:spacing w:after="0" w:line="36" w:lineRule="exact"/>
        <w:rPr>
          <w:sz w:val="20"/>
          <w:szCs w:val="20"/>
          <w:color w:val="auto"/>
        </w:rPr>
      </w:pPr>
    </w:p>
    <w:p>
      <w:pPr>
        <w:ind w:right="200" w:firstLine="439"/>
        <w:spacing w:after="0" w:line="254" w:lineRule="auto"/>
        <w:rPr>
          <w:sz w:val="20"/>
          <w:szCs w:val="20"/>
          <w:color w:val="auto"/>
        </w:rPr>
      </w:pPr>
      <w:r>
        <w:rPr>
          <w:rFonts w:ascii="Arial" w:cs="Arial" w:eastAsia="Arial" w:hAnsi="Arial"/>
          <w:sz w:val="18"/>
          <w:szCs w:val="18"/>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76" w:lineRule="exact"/>
        <w:rPr>
          <w:sz w:val="20"/>
          <w:szCs w:val="20"/>
          <w:color w:val="auto"/>
        </w:rPr>
      </w:pPr>
    </w:p>
    <w:p>
      <w:pPr>
        <w:ind w:right="700" w:firstLine="439"/>
        <w:spacing w:after="0" w:line="276" w:lineRule="auto"/>
        <w:rPr>
          <w:sz w:val="20"/>
          <w:szCs w:val="20"/>
          <w:color w:val="auto"/>
        </w:rPr>
      </w:pPr>
      <w:r>
        <w:rPr>
          <w:rFonts w:ascii="Arial" w:cs="Arial" w:eastAsia="Arial" w:hAnsi="Arial"/>
          <w:sz w:val="18"/>
          <w:szCs w:val="18"/>
          <w:color w:val="auto"/>
        </w:rPr>
        <w:t>The degree of market acceptance of any product candidate, if approved for commercial sale, will depend on a number of factors, including:</w:t>
      </w:r>
    </w:p>
    <w:p>
      <w:pPr>
        <w:spacing w:after="0" w:line="56" w:lineRule="exact"/>
        <w:rPr>
          <w:sz w:val="20"/>
          <w:szCs w:val="20"/>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relative convenience and ease of administration compared to alternative treatments;</w:t>
      </w:r>
    </w:p>
    <w:p>
      <w:pPr>
        <w:spacing w:after="0" w:line="112" w:lineRule="exact"/>
        <w:rPr>
          <w:rFonts w:ascii="Arial" w:cs="Arial" w:eastAsia="Arial" w:hAnsi="Arial"/>
          <w:sz w:val="18"/>
          <w:szCs w:val="18"/>
          <w:color w:val="auto"/>
        </w:rPr>
      </w:pPr>
    </w:p>
    <w:p>
      <w:pPr>
        <w:ind w:left="640" w:right="620" w:hanging="314"/>
        <w:spacing w:after="0" w:line="276"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56" w:lineRule="exact"/>
        <w:rPr>
          <w:rFonts w:ascii="Arial" w:cs="Arial" w:eastAsia="Arial" w:hAnsi="Arial"/>
          <w:sz w:val="18"/>
          <w:szCs w:val="18"/>
          <w:color w:val="auto"/>
        </w:rPr>
      </w:pPr>
    </w:p>
    <w:p>
      <w:pPr>
        <w:ind w:left="640" w:right="280" w:hanging="314"/>
        <w:spacing w:after="0" w:line="276"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market for such product candidate, based on the size of the patient subsets that we are targeting, in the territories for which we gain regulatory approval;</w:t>
      </w:r>
    </w:p>
    <w:p>
      <w:pPr>
        <w:spacing w:after="0" w:line="56" w:lineRule="exact"/>
        <w:rPr>
          <w:rFonts w:ascii="Arial" w:cs="Arial" w:eastAsia="Arial" w:hAnsi="Arial"/>
          <w:sz w:val="18"/>
          <w:szCs w:val="18"/>
          <w:color w:val="auto"/>
        </w:rPr>
      </w:pPr>
    </w:p>
    <w:p>
      <w:pPr>
        <w:ind w:left="640" w:hanging="314"/>
        <w:spacing w:after="0" w:line="276"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any such marketing approval in relation to other product approvals;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support from patient advocacy groups;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2" w:lineRule="exact"/>
        <w:rPr>
          <w:sz w:val="20"/>
          <w:szCs w:val="20"/>
          <w:color w:val="auto"/>
        </w:rPr>
      </w:pPr>
    </w:p>
    <w:p>
      <w:pPr>
        <w:ind w:right="1040" w:firstLine="439"/>
        <w:spacing w:after="0" w:line="276"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63"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w:t>
      </w:r>
      <w:r>
        <w:rPr>
          <w:rFonts w:ascii="Arial" w:cs="Arial" w:eastAsia="Arial" w:hAnsi="Arial"/>
          <w:sz w:val="18"/>
          <w:szCs w:val="18"/>
          <w:i w:val="1"/>
          <w:iCs w:val="1"/>
          <w:color w:val="auto"/>
        </w:rPr>
        <w:t>e.g.</w:t>
      </w:r>
      <w:r>
        <w:rPr>
          <w:rFonts w:ascii="Arial" w:cs="Arial" w:eastAsia="Arial" w:hAnsi="Arial"/>
          <w:sz w:val="18"/>
          <w:szCs w:val="18"/>
          <w:color w:val="auto"/>
        </w:rPr>
        <w:t>,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82" w:lineRule="exact"/>
        <w:rPr>
          <w:sz w:val="20"/>
          <w:szCs w:val="20"/>
          <w:color w:val="auto"/>
        </w:rPr>
      </w:pPr>
    </w:p>
    <w:p>
      <w:pPr>
        <w:ind w:firstLine="439"/>
        <w:spacing w:after="0" w:line="284" w:lineRule="auto"/>
        <w:rPr>
          <w:sz w:val="20"/>
          <w:szCs w:val="20"/>
          <w:color w:val="auto"/>
        </w:rPr>
      </w:pPr>
      <w:r>
        <w:rPr>
          <w:rFonts w:ascii="Arial" w:cs="Arial" w:eastAsia="Arial" w:hAnsi="Arial"/>
          <w:sz w:val="17"/>
          <w:szCs w:val="17"/>
          <w:color w:val="auto"/>
        </w:rPr>
        <w:t>In the United States, the Centers for Medicare &amp; Medicaid Services, or CMS, an agency within the U.S. Department of Health and Human Services, or HHS, determines whether and to what extent new products will be covered and reimbursed under Medicare and private payors tend to follow CMS to a substantial degree. Factors payors consider in determining reimbursement are based on whether the product is: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314"/>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2" w:lineRule="exact"/>
        <w:rPr>
          <w:sz w:val="20"/>
          <w:szCs w:val="20"/>
          <w:color w:val="auto"/>
        </w:rPr>
      </w:pPr>
    </w:p>
    <w:p>
      <w:pPr>
        <w:ind w:right="80" w:firstLine="439"/>
        <w:spacing w:after="0" w:line="252" w:lineRule="auto"/>
        <w:rPr>
          <w:sz w:val="20"/>
          <w:szCs w:val="20"/>
          <w:color w:val="auto"/>
        </w:rPr>
      </w:pPr>
      <w:r>
        <w:rPr>
          <w:rFonts w:ascii="Arial" w:cs="Arial" w:eastAsia="Arial" w:hAnsi="Arial"/>
          <w:sz w:val="18"/>
          <w:szCs w:val="18"/>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80" w:lineRule="exact"/>
        <w:rPr>
          <w:sz w:val="20"/>
          <w:szCs w:val="20"/>
          <w:color w:val="auto"/>
        </w:rPr>
      </w:pPr>
    </w:p>
    <w:p>
      <w:pPr>
        <w:ind w:right="80" w:firstLine="439"/>
        <w:spacing w:after="0" w:line="251" w:lineRule="auto"/>
        <w:rPr>
          <w:sz w:val="20"/>
          <w:szCs w:val="20"/>
          <w:color w:val="auto"/>
        </w:rPr>
      </w:pPr>
      <w:r>
        <w:rPr>
          <w:rFonts w:ascii="Arial" w:cs="Arial" w:eastAsia="Arial" w:hAnsi="Arial"/>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82"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80"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2" w:lineRule="exact"/>
        <w:rPr>
          <w:sz w:val="20"/>
          <w:szCs w:val="20"/>
          <w:color w:val="auto"/>
        </w:rPr>
      </w:pPr>
    </w:p>
    <w:p>
      <w:pPr>
        <w:ind w:right="20" w:firstLine="439"/>
        <w:spacing w:after="0" w:line="250" w:lineRule="auto"/>
        <w:rPr>
          <w:sz w:val="20"/>
          <w:szCs w:val="20"/>
          <w:color w:val="auto"/>
        </w:rPr>
      </w:pPr>
      <w:r>
        <w:rPr>
          <w:rFonts w:ascii="Arial" w:cs="Arial" w:eastAsia="Arial" w:hAnsi="Arial"/>
          <w:sz w:val="18"/>
          <w:szCs w:val="18"/>
          <w:color w:val="auto"/>
        </w:rPr>
        <w:t>In some foreign countries, the proposed pricing for a drug must be approved before it may be lawfully marketed. The requirements governing drug pricing vary widely from country to country. For example, in the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Approaches between member states are diverging. For example, in France, effective market access will be supported by agreements with hospitals and products may be reimbursed by the Social Security Fund. The price of reimbursed medicines is negotiated with the Economic Committee for Health Products, or CEPS. There can be no assurance that any country that has price controls or reimbursement limitations for biopharmaceutical products will allow favorable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reimbursement and pricing arrangements for any of our product candidates. Historically, products launched in the EU do not follow price structures of the United States and generally prices tend to be significantly lower.</w:t>
      </w:r>
    </w:p>
    <w:p>
      <w:pPr>
        <w:spacing w:after="0" w:line="56" w:lineRule="exact"/>
        <w:rPr>
          <w:sz w:val="20"/>
          <w:szCs w:val="20"/>
          <w:color w:val="auto"/>
        </w:rPr>
      </w:pPr>
    </w:p>
    <w:p>
      <w:pPr>
        <w:ind w:right="720"/>
        <w:spacing w:after="0" w:line="288" w:lineRule="auto"/>
        <w:rPr>
          <w:sz w:val="20"/>
          <w:szCs w:val="20"/>
          <w:color w:val="auto"/>
        </w:rPr>
      </w:pPr>
      <w:r>
        <w:rPr>
          <w:rFonts w:ascii="Arial" w:cs="Arial" w:eastAsia="Arial" w:hAnsi="Arial"/>
          <w:sz w:val="18"/>
          <w:szCs w:val="18"/>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36"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In order to market any products in the United States or Europe,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8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i w:val="1"/>
          <w:iCs w:val="1"/>
          <w:color w:val="auto"/>
        </w:rPr>
        <w:t>We have no experience as a company in commercializing products, and we will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55" w:lineRule="exact"/>
        <w:rPr>
          <w:sz w:val="20"/>
          <w:szCs w:val="20"/>
          <w:color w:val="auto"/>
        </w:rPr>
      </w:pPr>
    </w:p>
    <w:p>
      <w:pPr>
        <w:ind w:right="40" w:firstLine="439"/>
        <w:spacing w:after="0" w:line="248" w:lineRule="auto"/>
        <w:rPr>
          <w:sz w:val="20"/>
          <w:szCs w:val="20"/>
          <w:color w:val="auto"/>
        </w:rPr>
      </w:pPr>
      <w:r>
        <w:rPr>
          <w:rFonts w:ascii="Arial" w:cs="Arial" w:eastAsia="Arial" w:hAnsi="Arial"/>
          <w:sz w:val="18"/>
          <w:szCs w:val="18"/>
          <w:color w:val="auto"/>
        </w:rPr>
        <w:t>If any of our product candidates ultimately receives regulatory approval, we will need to establish a marketing and sales organization with technical expertise and supporting distribution capabilities to commercialize each such product in major markets, which will be expensive and time consuming. In connection with commercial preparations for ulixacaltamide and relutrigine, we are currently building out our internal sales, marketing and distribution capabilities. However,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Ongoing Regulatory and Legal Compliance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Healthcare and Related Laws</w:t>
      </w:r>
    </w:p>
    <w:p>
      <w:pPr>
        <w:spacing w:after="0" w:line="112"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55"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Although we do not currently have any products on the market, upon commercialization of our product candidates, if approved, we will be subject to additional healthcare statutory and regulatory requirements and oversight by federal and state governments in the United States as well as foreign governments in the jurisdictions in which we conduct our business. 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76" w:lineRule="exact"/>
        <w:rPr>
          <w:sz w:val="20"/>
          <w:szCs w:val="20"/>
          <w:color w:val="auto"/>
        </w:rPr>
      </w:pPr>
    </w:p>
    <w:p>
      <w:pPr>
        <w:ind w:right="240" w:firstLine="439"/>
        <w:spacing w:after="0" w:line="276" w:lineRule="auto"/>
        <w:rPr>
          <w:sz w:val="20"/>
          <w:szCs w:val="20"/>
          <w:color w:val="auto"/>
        </w:rPr>
      </w:pPr>
      <w:r>
        <w:rPr>
          <w:rFonts w:ascii="Arial" w:cs="Arial" w:eastAsia="Arial" w:hAnsi="Arial"/>
          <w:sz w:val="18"/>
          <w:szCs w:val="18"/>
          <w:color w:val="auto"/>
        </w:rPr>
        <w:t>The applicable federal, state and foreign healthcare laws and regulations laws that may affect our ability to operate include, but are not limited to:</w:t>
      </w:r>
    </w:p>
    <w:p>
      <w:pPr>
        <w:spacing w:after="0" w:line="56" w:lineRule="exact"/>
        <w:rPr>
          <w:sz w:val="20"/>
          <w:szCs w:val="20"/>
          <w:color w:val="auto"/>
        </w:rPr>
      </w:pPr>
    </w:p>
    <w:p>
      <w:pPr>
        <w:ind w:left="640" w:hanging="314"/>
        <w:spacing w:after="0" w:line="250"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remuneration is to induce referrals, the federal Anti-Kickback statute is violated.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80" w:lineRule="exact"/>
        <w:rPr>
          <w:rFonts w:ascii="Arial" w:cs="Arial" w:eastAsia="Arial" w:hAnsi="Arial"/>
          <w:sz w:val="18"/>
          <w:szCs w:val="18"/>
          <w:color w:val="auto"/>
        </w:rPr>
      </w:pPr>
    </w:p>
    <w:p>
      <w:pPr>
        <w:ind w:left="640" w:hanging="314"/>
        <w:spacing w:after="0" w:line="250"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In addition,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w:t>
      </w:r>
    </w:p>
    <w:p>
      <w:pPr>
        <w:spacing w:after="0" w:line="80" w:lineRule="exact"/>
        <w:rPr>
          <w:rFonts w:ascii="Arial" w:cs="Arial" w:eastAsia="Arial" w:hAnsi="Arial"/>
          <w:sz w:val="18"/>
          <w:szCs w:val="18"/>
          <w:color w:val="auto"/>
        </w:rPr>
      </w:pPr>
    </w:p>
    <w:p>
      <w:pPr>
        <w:ind w:left="640" w:hanging="314"/>
        <w:spacing w:after="0" w:line="250"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82" w:lineRule="exact"/>
        <w:rPr>
          <w:rFonts w:ascii="Arial" w:cs="Arial" w:eastAsia="Arial" w:hAnsi="Arial"/>
          <w:sz w:val="18"/>
          <w:szCs w:val="18"/>
          <w:color w:val="auto"/>
        </w:rPr>
      </w:pPr>
    </w:p>
    <w:p>
      <w:pPr>
        <w:ind w:left="640" w:right="60" w:hanging="314"/>
        <w:spacing w:after="0" w:line="252"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Physician Payments Sunshine Act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certain non-physician providers including physician assistants and nurse practitioners, and teaching hospitals, as well as ownership and investment interests held by the physicians and their immediate family members;</w:t>
      </w:r>
    </w:p>
    <w:p>
      <w:pPr>
        <w:spacing w:after="0" w:line="80" w:lineRule="exact"/>
        <w:rPr>
          <w:rFonts w:ascii="Arial" w:cs="Arial" w:eastAsia="Arial" w:hAnsi="Arial"/>
          <w:sz w:val="18"/>
          <w:szCs w:val="18"/>
          <w:color w:val="auto"/>
        </w:rPr>
      </w:pPr>
    </w:p>
    <w:p>
      <w:pPr>
        <w:ind w:left="640" w:right="300" w:hanging="314"/>
        <w:spacing w:after="0" w:line="276"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56" w:lineRule="exact"/>
        <w:rPr>
          <w:rFonts w:ascii="Arial" w:cs="Arial" w:eastAsia="Arial" w:hAnsi="Arial"/>
          <w:sz w:val="18"/>
          <w:szCs w:val="18"/>
          <w:color w:val="auto"/>
        </w:rPr>
      </w:pPr>
    </w:p>
    <w:p>
      <w:pPr>
        <w:ind w:left="640" w:right="320" w:hanging="314"/>
        <w:spacing w:after="0" w:line="261"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right="100"/>
        <w:spacing w:after="0" w:line="252" w:lineRule="auto"/>
        <w:rPr>
          <w:sz w:val="20"/>
          <w:szCs w:val="20"/>
          <w:color w:val="auto"/>
        </w:rPr>
      </w:pPr>
      <w:r>
        <w:rPr>
          <w:rFonts w:ascii="Arial" w:cs="Arial" w:eastAsia="Arial" w:hAnsi="Arial"/>
          <w:sz w:val="18"/>
          <w:szCs w:val="18"/>
          <w:color w:val="auto"/>
        </w:rPr>
        <w:t>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and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w:t>
      </w:r>
    </w:p>
    <w:p>
      <w:pPr>
        <w:spacing w:after="0" w:line="80" w:lineRule="exact"/>
        <w:rPr>
          <w:sz w:val="20"/>
          <w:szCs w:val="20"/>
          <w:color w:val="auto"/>
        </w:rPr>
      </w:pPr>
    </w:p>
    <w:p>
      <w:pPr>
        <w:ind w:right="120" w:firstLine="439"/>
        <w:spacing w:after="0" w:line="250"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83"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w:t>
      </w:r>
    </w:p>
    <w:p>
      <w:pPr>
        <w:spacing w:after="0" w:line="79"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80"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7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62" w:lineRule="exact"/>
        <w:rPr>
          <w:sz w:val="20"/>
          <w:szCs w:val="20"/>
          <w:color w:val="auto"/>
        </w:rPr>
      </w:pPr>
    </w:p>
    <w:p>
      <w:pPr>
        <w:ind w:firstLine="439"/>
        <w:spacing w:after="0" w:line="267"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perceptions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government investigations and enforcement actions, claims by third parties and damage to our reputation, any of which could have a material adverse effect on our operations, financial performance and business.</w:t>
      </w:r>
    </w:p>
    <w:p>
      <w:pPr>
        <w:spacing w:after="0" w:line="56" w:lineRule="exact"/>
        <w:rPr>
          <w:sz w:val="20"/>
          <w:szCs w:val="20"/>
          <w:color w:val="auto"/>
        </w:rPr>
      </w:pPr>
    </w:p>
    <w:p>
      <w:pPr>
        <w:ind w:right="100" w:firstLine="439"/>
        <w:spacing w:after="0" w:line="277" w:lineRule="auto"/>
        <w:rPr>
          <w:sz w:val="20"/>
          <w:szCs w:val="20"/>
          <w:color w:val="auto"/>
        </w:rPr>
      </w:pPr>
      <w:r>
        <w:rPr>
          <w:rFonts w:ascii="Arial" w:cs="Arial" w:eastAsia="Arial" w:hAnsi="Arial"/>
          <w:sz w:val="17"/>
          <w:szCs w:val="17"/>
          <w:color w:val="auto"/>
        </w:rPr>
        <w:t>In Europe, we are subject to the European Union General Data Protection Regulation, or the EU GDPR, and to the United Kingdom General Data Protection Regulation and Data Protection Act 2018, or, collectively, the UK GDPR, and together with the EU GDPR, the GDPR. The GDPR imposes comprehensive data privacy compliance obligations in relation to our collection and use of data relating to an identifiable</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living individual or “personal data”, including a principle of accountability and the obligation to demonstrate compliance through policies, procedures, training and audit, as well as regulating cross-border transfers of personal data out of the European Economic Area, or EEA, and the UK. Violations of the GDPR can lead to potential fines of up to €20 million/£17.5 million or 4% of the annual global revenues of the noncompliant undertaking, whichever is greater.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79"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or the CJEU, states that reliance on the standard contractual clauses, or SCCs — a standard form of contract approved by the European Commission as an adequate personal data transfer mechanism — alone may not necessarily be sufficient in all circumstances. Use of the SCCs must now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continues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87"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In the United States, HIPAA establishes a set of national privacy and security standards for the protection of individually identifiable health information, including protected health information, or PHI, by health plans, certain health care clearinghouses and health 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as well as their covered subcontractors. While we do not believe that we are currently acting as a covered entity or business associate under HIPAA, we may receive individually identifiable health information from these entities. Failure to receive this information properly could subject us to HIPAA’s criminal penalties. Further, any person may be prosecuted under HIPAA’s criminal provisions either directly or under aiding-and-abetting or conspiracy principles.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80" w:lineRule="exact"/>
        <w:rPr>
          <w:sz w:val="20"/>
          <w:szCs w:val="20"/>
          <w:color w:val="auto"/>
        </w:rPr>
      </w:pPr>
    </w:p>
    <w:p>
      <w:pPr>
        <w:ind w:right="40" w:firstLine="439"/>
        <w:spacing w:after="0" w:line="249" w:lineRule="auto"/>
        <w:rPr>
          <w:sz w:val="20"/>
          <w:szCs w:val="20"/>
          <w:color w:val="auto"/>
        </w:rPr>
      </w:pPr>
      <w:r>
        <w:rPr>
          <w:rFonts w:ascii="Arial" w:cs="Arial" w:eastAsia="Arial" w:hAnsi="Arial"/>
          <w:sz w:val="18"/>
          <w:szCs w:val="18"/>
          <w:color w:val="auto"/>
        </w:rPr>
        <w:t>Various states have also implemented similar privacy laws and regulations, such as the California Confidentiality of Medical Information Act, or the CMIA, that impose restrictive requirements regulating the use and disclosure of health information and other personally identifiable information. In addition to imposing fines and penalties, some of these state laws afford private rights of action to individuals who believe their personal information has been misused. California’s patient privacy laws, for example, provide for significant penalties and permit injured parties to sue for damages. In addition to the CMIA, California also enacted the California Consumer Privacy Act, or the CCPA, which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been passed in other states, reflecting a trend toward more stringent privacy legislation in the United States. The enactment of such laws could have potentially conflicting requirements that would make compliance challenging. In the event that we are subject to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affected by the CCPA or other domestic privacy and data protection laws, any liability from failure to comply with the requirements of these laws could adversely affect our financial condition.</w:t>
      </w:r>
    </w:p>
    <w:p>
      <w:pPr>
        <w:spacing w:after="0" w:line="56" w:lineRule="exact"/>
        <w:rPr>
          <w:sz w:val="20"/>
          <w:szCs w:val="20"/>
          <w:color w:val="auto"/>
        </w:rPr>
      </w:pPr>
    </w:p>
    <w:p>
      <w:pPr>
        <w:ind w:right="120" w:firstLine="439"/>
        <w:spacing w:after="0" w:line="251" w:lineRule="auto"/>
        <w:rPr>
          <w:sz w:val="20"/>
          <w:szCs w:val="20"/>
          <w:color w:val="auto"/>
        </w:rPr>
      </w:pPr>
      <w:r>
        <w:rPr>
          <w:rFonts w:ascii="Arial" w:cs="Arial" w:eastAsia="Arial" w:hAnsi="Arial"/>
          <w:sz w:val="18"/>
          <w:szCs w:val="18"/>
          <w:color w:val="auto"/>
        </w:rPr>
        <w:t>In addition, we use artificial intelligence, or AI, machine learning, and automated decision-making technologies, collectively, AI Technologies, in our business from time to time.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82" w:lineRule="exact"/>
        <w:rPr>
          <w:sz w:val="20"/>
          <w:szCs w:val="20"/>
          <w:color w:val="auto"/>
        </w:rPr>
      </w:pPr>
    </w:p>
    <w:p>
      <w:pPr>
        <w:ind w:right="140" w:firstLine="439"/>
        <w:spacing w:after="0" w:line="250" w:lineRule="auto"/>
        <w:rPr>
          <w:sz w:val="20"/>
          <w:szCs w:val="20"/>
          <w:color w:val="auto"/>
        </w:rPr>
      </w:pPr>
      <w:r>
        <w:rPr>
          <w:rFonts w:ascii="Arial" w:cs="Arial" w:eastAsia="Arial" w:hAnsi="Arial"/>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83" w:lineRule="exact"/>
        <w:rPr>
          <w:sz w:val="20"/>
          <w:szCs w:val="20"/>
          <w:color w:val="auto"/>
        </w:rPr>
      </w:pPr>
    </w:p>
    <w:p>
      <w:pPr>
        <w:ind w:right="120" w:firstLine="439"/>
        <w:spacing w:after="0" w:line="268"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The legislative and regulatory landscape for privacy and data security continues to evolve, and there has been an increasing focus on privacy and data security issues which may affect our business. Any failure or perceived failure by us or our employees, representatives, contractors, consultants, collaborators, or other third parties to comply with current and future laws and regulations could result in government enforcement actions (including the imposition of significant penalties), criminal and/or civil liability for us and our officers and directors, private litigation and/or adverse publicity that negatively affects our business.</w:t>
      </w:r>
    </w:p>
    <w:p>
      <w:pPr>
        <w:spacing w:after="0" w:line="64" w:lineRule="exact"/>
        <w:rPr>
          <w:sz w:val="20"/>
          <w:szCs w:val="20"/>
          <w:color w:val="auto"/>
        </w:rPr>
      </w:pPr>
    </w:p>
    <w:p>
      <w:pPr>
        <w:ind w:right="280"/>
        <w:spacing w:after="0" w:line="288" w:lineRule="auto"/>
        <w:rPr>
          <w:sz w:val="20"/>
          <w:szCs w:val="20"/>
          <w:color w:val="auto"/>
        </w:rPr>
      </w:pPr>
      <w:r>
        <w:rPr>
          <w:rFonts w:ascii="Arial" w:cs="Arial" w:eastAsia="Arial" w:hAnsi="Arial"/>
          <w:sz w:val="18"/>
          <w:szCs w:val="18"/>
          <w:b w:val="1"/>
          <w:bCs w:val="1"/>
          <w:i w:val="1"/>
          <w:iCs w:val="1"/>
          <w:color w:val="auto"/>
        </w:rPr>
        <w:t>Ongoing healthcare legislative and regulatory reform measures may have a material adverse effect on our business and results of operations.</w:t>
      </w:r>
    </w:p>
    <w:p>
      <w:pPr>
        <w:spacing w:after="0" w:line="36" w:lineRule="exact"/>
        <w:rPr>
          <w:sz w:val="20"/>
          <w:szCs w:val="20"/>
          <w:color w:val="auto"/>
        </w:rPr>
      </w:pPr>
    </w:p>
    <w:p>
      <w:pPr>
        <w:ind w:right="40" w:firstLine="439"/>
        <w:spacing w:after="0" w:line="250" w:lineRule="auto"/>
        <w:rPr>
          <w:sz w:val="20"/>
          <w:szCs w:val="20"/>
          <w:color w:val="auto"/>
        </w:rPr>
      </w:pPr>
      <w:r>
        <w:rPr>
          <w:rFonts w:ascii="Arial" w:cs="Arial" w:eastAsia="Arial" w:hAnsi="Arial"/>
          <w:sz w:val="18"/>
          <w:szCs w:val="18"/>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 care is financed by both governmental and private insurers, and significantly impacted the U.S. biopharmaceutical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w:t>
      </w:r>
    </w:p>
    <w:p>
      <w:pPr>
        <w:spacing w:after="0" w:line="83" w:lineRule="exact"/>
        <w:rPr>
          <w:sz w:val="20"/>
          <w:szCs w:val="20"/>
          <w:color w:val="auto"/>
        </w:rPr>
      </w:pPr>
    </w:p>
    <w:p>
      <w:pPr>
        <w:ind w:right="380" w:firstLine="439"/>
        <w:spacing w:after="0" w:line="261"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ACA. On June 17, 2021 the U.S. Supreme Court dismissed the recent judicial challenge to the ACA brought by several states without specifically ruling on the constitutionality of the ACA. Thus, the ACA will remain in effect in its current form.</w:t>
      </w:r>
    </w:p>
    <w:p>
      <w:pPr>
        <w:spacing w:after="0" w:line="70"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 five years. Moreover, on March 11, 2021, the American Rescue Plan Act of 2021 was signed into law, which eliminated the statutory Medicaid drug rebate cap for single source and innovator multiple source drugs, beginning January 1, 2024. The rebate was previously capped at 100% of a drug's average manufacturer price.</w:t>
      </w:r>
    </w:p>
    <w:p>
      <w:pPr>
        <w:spacing w:after="0" w:line="70" w:lineRule="exact"/>
        <w:rPr>
          <w:sz w:val="20"/>
          <w:szCs w:val="20"/>
          <w:color w:val="auto"/>
        </w:rPr>
      </w:pPr>
    </w:p>
    <w:p>
      <w:pPr>
        <w:ind w:right="40" w:firstLine="439"/>
        <w:spacing w:after="0" w:line="249" w:lineRule="auto"/>
        <w:rPr>
          <w:sz w:val="20"/>
          <w:szCs w:val="20"/>
          <w:color w:val="auto"/>
        </w:rPr>
      </w:pPr>
      <w:r>
        <w:rPr>
          <w:rFonts w:ascii="Arial" w:cs="Arial" w:eastAsia="Arial" w:hAnsi="Arial"/>
          <w:sz w:val="18"/>
          <w:szCs w:val="18"/>
          <w:color w:val="auto"/>
        </w:rPr>
        <w:t>Payment methodologies may also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By way of example, in August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on January 1,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These provisions started to take effect progressively starting in fiscal year 2023. HHS has announced the agreed-upon prices for the first ten drugs that were subject to price negotiations, which took effect in January 2026, and the subsequent fifteen drugs, which will first take effect in January 2027. Each year thereafter, more Part B and Part D products will become subject to the HHS price negotiation program, although the program is currently subject to legal challenges.</w:t>
      </w:r>
    </w:p>
    <w:p>
      <w:pPr>
        <w:spacing w:after="0" w:line="80" w:lineRule="exact"/>
        <w:rPr>
          <w:sz w:val="20"/>
          <w:szCs w:val="20"/>
          <w:color w:val="auto"/>
        </w:rPr>
      </w:pPr>
    </w:p>
    <w:p>
      <w:pPr>
        <w:ind w:right="60" w:firstLine="439"/>
        <w:spacing w:after="0" w:line="261" w:lineRule="auto"/>
        <w:rPr>
          <w:sz w:val="20"/>
          <w:szCs w:val="20"/>
          <w:color w:val="auto"/>
        </w:rPr>
      </w:pPr>
      <w:r>
        <w:rPr>
          <w:rFonts w:ascii="Arial" w:cs="Arial" w:eastAsia="Arial" w:hAnsi="Arial"/>
          <w:sz w:val="18"/>
          <w:szCs w:val="18"/>
          <w:color w:val="auto"/>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70"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The current presidential administration is pursuing a two-fold strategy to reduce drug costs in the U.S. While it is unclear whether and how such policies will be implemented, the proposed policies are likely to have a negative impact on the pharmaceutical industry and on our ability to receive adequate revenues for any product candidates we develop, if approved. As part of this strategy, President Trump has proposed imposing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In addition, the Trump administration is pursuing traditional regulatory pathways to impose drug pricing policies, although final regulations have not yet been published.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83"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our product candidates, if approved.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85" w:lineRule="exact"/>
        <w:rPr>
          <w:sz w:val="20"/>
          <w:szCs w:val="20"/>
          <w:color w:val="auto"/>
        </w:rPr>
      </w:pPr>
    </w:p>
    <w:p>
      <w:pPr>
        <w:ind w:right="120" w:firstLine="439"/>
        <w:spacing w:after="0" w:line="27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b w:val="1"/>
          <w:bCs w:val="1"/>
          <w:i w:val="1"/>
          <w:iCs w:val="1"/>
          <w:color w:val="auto"/>
        </w:rPr>
        <w:t>In the United States, 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2" w:lineRule="exact"/>
        <w:rPr>
          <w:sz w:val="20"/>
          <w:szCs w:val="20"/>
          <w:color w:val="auto"/>
        </w:rPr>
      </w:pPr>
    </w:p>
    <w:p>
      <w:pPr>
        <w:ind w:right="100" w:firstLine="439"/>
        <w:spacing w:after="0" w:line="248" w:lineRule="auto"/>
        <w:rPr>
          <w:sz w:val="20"/>
          <w:szCs w:val="20"/>
          <w:color w:val="auto"/>
        </w:rPr>
      </w:pPr>
      <w:r>
        <w:rPr>
          <w:rFonts w:ascii="Arial" w:cs="Arial" w:eastAsia="Arial" w:hAnsi="Arial"/>
          <w:sz w:val="18"/>
          <w:szCs w:val="18"/>
          <w:color w:val="auto"/>
        </w:rPr>
        <w:t>The ability of the FDA and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and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International Re</w:t>
      </w:r>
      <w:r>
        <w:rPr>
          <w:rFonts w:ascii="Arial" w:cs="Arial" w:eastAsia="Arial" w:hAnsi="Arial"/>
          <w:sz w:val="18"/>
          <w:szCs w:val="18"/>
          <w:color w:val="auto"/>
        </w:rPr>
        <w:t>g</w:t>
      </w:r>
      <w:r>
        <w:rPr>
          <w:rFonts w:ascii="Arial" w:cs="Arial" w:eastAsia="Arial" w:hAnsi="Arial"/>
          <w:sz w:val="18"/>
          <w:szCs w:val="18"/>
          <w:u w:val="single" w:color="auto"/>
          <w:color w:val="auto"/>
        </w:rPr>
        <w:t>ulations</w:t>
      </w:r>
    </w:p>
    <w:p>
      <w:pPr>
        <w:spacing w:after="0" w:line="112" w:lineRule="exact"/>
        <w:rPr>
          <w:sz w:val="20"/>
          <w:szCs w:val="20"/>
          <w:color w:val="auto"/>
        </w:rPr>
      </w:pPr>
    </w:p>
    <w:p>
      <w:pPr>
        <w:ind w:right="100"/>
        <w:spacing w:after="0" w:line="28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36"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82"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laws of EU member states, and in respect of the United Kingdom (which is longer a member of the EU), the U.K. Bribery Act of 2010. Infringement of these laws could result in substantial fines and imprisonment.</w:t>
      </w:r>
    </w:p>
    <w:p>
      <w:pPr>
        <w:spacing w:after="0" w:line="76"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must often be subject to a prior notification and/or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6"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In addition,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64" w:lineRule="exact"/>
        <w:rPr>
          <w:sz w:val="20"/>
          <w:szCs w:val="20"/>
          <w:color w:val="auto"/>
        </w:rPr>
      </w:pPr>
    </w:p>
    <w:p>
      <w:pPr>
        <w:ind w:right="60" w:firstLine="439"/>
        <w:spacing w:after="0" w:line="249" w:lineRule="auto"/>
        <w:rPr>
          <w:sz w:val="20"/>
          <w:szCs w:val="20"/>
          <w:color w:val="auto"/>
        </w:rPr>
      </w:pPr>
      <w:r>
        <w:rPr>
          <w:rFonts w:ascii="Arial" w:cs="Arial" w:eastAsia="Arial" w:hAnsi="Arial"/>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87" w:lineRule="exact"/>
        <w:rPr>
          <w:sz w:val="20"/>
          <w:szCs w:val="20"/>
          <w:color w:val="auto"/>
        </w:rPr>
      </w:pPr>
    </w:p>
    <w:p>
      <w:pPr>
        <w:ind w:right="40" w:firstLine="439"/>
        <w:spacing w:after="0" w:line="266" w:lineRule="auto"/>
        <w:rPr>
          <w:sz w:val="20"/>
          <w:szCs w:val="20"/>
          <w:color w:val="auto"/>
        </w:rPr>
      </w:pPr>
      <w:r>
        <w:rPr>
          <w:rFonts w:ascii="Arial" w:cs="Arial" w:eastAsia="Arial" w:hAnsi="Arial"/>
          <w:sz w:val="17"/>
          <w:szCs w:val="17"/>
          <w:color w:val="auto"/>
        </w:rPr>
        <w:t>In December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w:t>
      </w:r>
      <w:r>
        <w:rPr>
          <w:rFonts w:ascii="Arial" w:cs="Arial" w:eastAsia="Arial" w:hAnsi="Arial"/>
          <w:sz w:val="17"/>
          <w:szCs w:val="17"/>
          <w:i w:val="1"/>
          <w:iCs w:val="1"/>
          <w:color w:val="auto"/>
        </w:rPr>
        <w:t>e.g.</w:t>
      </w:r>
      <w:r>
        <w:rPr>
          <w:rFonts w:ascii="Arial" w:cs="Arial" w:eastAsia="Arial" w:hAnsi="Arial"/>
          <w:sz w:val="17"/>
          <w:szCs w:val="17"/>
          <w:color w:val="auto"/>
        </w:rPr>
        <w:t>, economic, social, ethical) aspects of health technology, and making decisions on pricing and reimbursement.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laws and regulations governing international operations could negatively impact or restrict our operations.</w:t>
      </w:r>
    </w:p>
    <w:p>
      <w:pPr>
        <w:spacing w:after="0" w:line="112" w:lineRule="exact"/>
        <w:rPr>
          <w:sz w:val="20"/>
          <w:szCs w:val="20"/>
          <w:color w:val="auto"/>
        </w:rPr>
      </w:pPr>
    </w:p>
    <w:p>
      <w:pPr>
        <w:ind w:right="120" w:firstLine="439"/>
        <w:spacing w:after="0" w:line="269" w:lineRule="auto"/>
        <w:rPr>
          <w:sz w:val="20"/>
          <w:szCs w:val="20"/>
          <w:color w:val="auto"/>
        </w:rPr>
      </w:pPr>
      <w:r>
        <w:rPr>
          <w:rFonts w:ascii="Arial" w:cs="Arial" w:eastAsia="Arial" w:hAnsi="Arial"/>
          <w:sz w:val="17"/>
          <w:szCs w:val="17"/>
          <w:color w:val="auto"/>
        </w:rPr>
        <w:t>For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64"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firstLine="439"/>
        <w:spacing w:after="0" w:line="272"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continue and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64"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 The SEC also may suspend or bar issuers from trading securities on U.S. exchanges for violations of the FCPA’s accounting provisions.</w:t>
      </w:r>
    </w:p>
    <w:p>
      <w:pPr>
        <w:spacing w:after="0" w:line="80" w:lineRule="exact"/>
        <w:rPr>
          <w:sz w:val="20"/>
          <w:szCs w:val="20"/>
          <w:color w:val="auto"/>
        </w:rPr>
      </w:pPr>
    </w:p>
    <w:p>
      <w:pPr>
        <w:ind w:right="420"/>
        <w:spacing w:after="0" w:line="28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6" w:lineRule="exact"/>
        <w:rPr>
          <w:sz w:val="20"/>
          <w:szCs w:val="20"/>
          <w:color w:val="auto"/>
        </w:rPr>
      </w:pPr>
    </w:p>
    <w:p>
      <w:pPr>
        <w:ind w:right="60" w:firstLine="43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Certain of these laws impose joint and several liability, including in some instances regardless of fault or legality at the time of occurrence.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4"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70"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 trend has generally been for such laws and regulations, and associated interpretations, to become more stringent over time. For example, various policymakers have adopted or are considering adopting, requirements for various climate- or other sustainability-related disclosures or other actions. Environmental laws and regulations may impair our research, development or production efforts. In addition, failure to comply with these laws and regulations may result in substantial fines, penalties or other sanctions.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Licensed Intellectual Property</w:t>
      </w:r>
    </w:p>
    <w:p>
      <w:pPr>
        <w:spacing w:after="0" w:line="112" w:lineRule="exact"/>
        <w:rPr>
          <w:sz w:val="20"/>
          <w:szCs w:val="20"/>
          <w:color w:val="auto"/>
        </w:rPr>
      </w:pPr>
    </w:p>
    <w:p>
      <w:pPr>
        <w:ind w:right="480"/>
        <w:spacing w:after="0" w:line="288"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6"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Our business depends in large part on obtaining and maintaining patent, trademark and trade secret protection of our proprietary technologies and our product candidates, their respective components, synthetic intermediates,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9" w:lineRule="exact"/>
        <w:rPr>
          <w:sz w:val="20"/>
          <w:szCs w:val="20"/>
          <w:color w:val="auto"/>
        </w:rPr>
      </w:pPr>
    </w:p>
    <w:p>
      <w:pPr>
        <w:ind w:right="140" w:firstLine="439"/>
        <w:spacing w:after="0" w:line="261"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or obtain, maintain and/or enforce patents or trademarks that may issue or be registered based on our applications, at a reasonable cost or in a timely manner. In addition, our pending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future patent applications may not result in issued patents that protect our technology or products, in whole or in part, or may not effectively prevent others from commercializing competitive technologies and products. Changes in either patent laws or interpretation of patent laws in the United States and other countries may diminish the value of our patents or narrow the scope of our patent protection. Further, we may not pursue, obtain, or maintain patent protection in all relevant markets.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87"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that we hold with respect to our product candidates is threatened, it could dissuade companies from collaborating with us to develop new or improved products and threaten our ability to commercialize our product candidates. Further, if we encounter delays in our clinical trials, the period of time during which we could market our product candidates under patent protection would be reduced.</w:t>
      </w:r>
    </w:p>
    <w:p>
      <w:pPr>
        <w:spacing w:after="0" w:line="83" w:lineRule="exact"/>
        <w:rPr>
          <w:sz w:val="20"/>
          <w:szCs w:val="20"/>
          <w:color w:val="auto"/>
        </w:rPr>
      </w:pPr>
    </w:p>
    <w:p>
      <w:pPr>
        <w:ind w:right="100" w:firstLine="439"/>
        <w:spacing w:after="0" w:line="276" w:lineRule="auto"/>
        <w:rPr>
          <w:sz w:val="20"/>
          <w:szCs w:val="20"/>
          <w:color w:val="auto"/>
        </w:rPr>
      </w:pPr>
      <w:r>
        <w:rPr>
          <w:rFonts w:ascii="Arial" w:cs="Arial" w:eastAsia="Arial" w:hAnsi="Arial"/>
          <w:sz w:val="18"/>
          <w:szCs w:val="18"/>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56" w:lineRule="exact"/>
        <w:rPr>
          <w:sz w:val="20"/>
          <w:szCs w:val="20"/>
          <w:color w:val="auto"/>
        </w:rPr>
      </w:pPr>
    </w:p>
    <w:p>
      <w:pPr>
        <w:ind w:right="100" w:firstLine="439"/>
        <w:spacing w:after="0" w:line="252" w:lineRule="auto"/>
        <w:rPr>
          <w:sz w:val="20"/>
          <w:szCs w:val="20"/>
          <w:color w:val="auto"/>
        </w:rPr>
      </w:pPr>
      <w:r>
        <w:rPr>
          <w:rFonts w:ascii="Arial" w:cs="Arial" w:eastAsia="Arial" w:hAnsi="Arial"/>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80"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We have disclaimed and may be required to disclaim additional parts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87"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0" w:lineRule="exact"/>
        <w:rPr>
          <w:sz w:val="20"/>
          <w:szCs w:val="20"/>
          <w:color w:val="auto"/>
        </w:rPr>
      </w:pPr>
    </w:p>
    <w:p>
      <w:pPr>
        <w:ind w:right="440" w:firstLine="439"/>
        <w:spacing w:after="0" w:line="276"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6" w:lineRule="exact"/>
        <w:rPr>
          <w:sz w:val="20"/>
          <w:szCs w:val="20"/>
          <w:color w:val="auto"/>
        </w:rPr>
      </w:pPr>
    </w:p>
    <w:p>
      <w:pPr>
        <w:ind w:left="640" w:right="140" w:hanging="314"/>
        <w:spacing w:after="0" w:line="27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compositions of our product candidates but that are not covered by the claims of our patents or those of our licensors;</w:t>
      </w:r>
    </w:p>
    <w:p>
      <w:pPr>
        <w:spacing w:after="0" w:line="56" w:lineRule="exact"/>
        <w:rPr>
          <w:rFonts w:ascii="Arial" w:cs="Arial" w:eastAsia="Arial" w:hAnsi="Arial"/>
          <w:sz w:val="18"/>
          <w:szCs w:val="18"/>
          <w:color w:val="auto"/>
        </w:rPr>
      </w:pPr>
    </w:p>
    <w:p>
      <w:pPr>
        <w:ind w:left="640" w:right="140" w:hanging="314"/>
        <w:spacing w:after="0" w:line="27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12" w:lineRule="exact"/>
        <w:rPr>
          <w:rFonts w:ascii="Arial" w:cs="Arial" w:eastAsia="Arial" w:hAnsi="Arial"/>
          <w:sz w:val="18"/>
          <w:szCs w:val="18"/>
          <w:color w:val="auto"/>
        </w:rPr>
      </w:pPr>
    </w:p>
    <w:p>
      <w:pPr>
        <w:ind w:left="640" w:right="680" w:hanging="314"/>
        <w:spacing w:after="0" w:line="27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12" w:lineRule="exact"/>
        <w:rPr>
          <w:rFonts w:ascii="Arial" w:cs="Arial" w:eastAsia="Arial" w:hAnsi="Arial"/>
          <w:sz w:val="18"/>
          <w:szCs w:val="18"/>
          <w:color w:val="auto"/>
        </w:rPr>
      </w:pPr>
    </w:p>
    <w:p>
      <w:pPr>
        <w:ind w:left="640" w:right="280" w:hanging="314"/>
        <w:spacing w:after="0" w:line="27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12" w:lineRule="exact"/>
        <w:rPr>
          <w:rFonts w:ascii="Arial" w:cs="Arial" w:eastAsia="Arial" w:hAnsi="Arial"/>
          <w:sz w:val="18"/>
          <w:szCs w:val="18"/>
          <w:color w:val="auto"/>
        </w:rPr>
      </w:pPr>
    </w:p>
    <w:p>
      <w:pPr>
        <w:ind w:left="640" w:right="540" w:hanging="314"/>
        <w:spacing w:after="0" w:line="27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56" w:lineRule="exact"/>
        <w:rPr>
          <w:rFonts w:ascii="Arial" w:cs="Arial" w:eastAsia="Arial" w:hAnsi="Arial"/>
          <w:sz w:val="18"/>
          <w:szCs w:val="18"/>
          <w:color w:val="auto"/>
        </w:rPr>
      </w:pPr>
    </w:p>
    <w:p>
      <w:pPr>
        <w:ind w:left="640" w:right="400" w:hanging="314"/>
        <w:spacing w:after="0" w:line="27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24" w:lineRule="exact"/>
        <w:rPr>
          <w:rFonts w:ascii="Arial" w:cs="Arial" w:eastAsia="Arial" w:hAnsi="Arial"/>
          <w:sz w:val="17"/>
          <w:szCs w:val="17"/>
          <w:color w:val="auto"/>
        </w:rPr>
      </w:pPr>
    </w:p>
    <w:p>
      <w:pPr>
        <w:ind w:left="640" w:right="240" w:hanging="314"/>
        <w:spacing w:after="0" w:line="27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may be held invalid or unenforceable as a result of legal challenges by third parties;</w:t>
      </w:r>
    </w:p>
    <w:p>
      <w:pPr>
        <w:spacing w:after="0" w:line="56" w:lineRule="exact"/>
        <w:rPr>
          <w:rFonts w:ascii="Arial" w:cs="Arial" w:eastAsia="Arial" w:hAnsi="Arial"/>
          <w:sz w:val="18"/>
          <w:szCs w:val="18"/>
          <w:color w:val="auto"/>
        </w:rPr>
      </w:pPr>
    </w:p>
    <w:p>
      <w:pPr>
        <w:ind w:left="640" w:right="160" w:hanging="314"/>
        <w:spacing w:after="0" w:line="261"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0" w:lineRule="exact"/>
        <w:rPr>
          <w:rFonts w:ascii="Arial" w:cs="Arial" w:eastAsia="Arial" w:hAnsi="Arial"/>
          <w:sz w:val="18"/>
          <w:szCs w:val="18"/>
          <w:color w:val="auto"/>
        </w:rPr>
      </w:pPr>
    </w:p>
    <w:p>
      <w:pPr>
        <w:jc w:val="both"/>
        <w:ind w:left="640" w:right="540" w:hanging="314"/>
        <w:spacing w:after="0" w:line="261"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0" w:lineRule="exact"/>
        <w:rPr>
          <w:rFonts w:ascii="Arial" w:cs="Arial" w:eastAsia="Arial" w:hAnsi="Arial"/>
          <w:sz w:val="18"/>
          <w:szCs w:val="18"/>
          <w:color w:val="auto"/>
        </w:rPr>
      </w:pPr>
    </w:p>
    <w:p>
      <w:pPr>
        <w:ind w:left="640" w:right="580" w:hanging="314"/>
        <w:spacing w:after="0" w:line="27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are likely to continue to do so in the future. Such collaborators may develop adjacent or competing products to ours that are outside the scope of our patents;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12" w:lineRule="exact"/>
        <w:rPr>
          <w:rFonts w:ascii="Arial" w:cs="Arial" w:eastAsia="Arial" w:hAnsi="Arial"/>
          <w:sz w:val="18"/>
          <w:szCs w:val="18"/>
          <w:color w:val="auto"/>
        </w:rPr>
      </w:pPr>
    </w:p>
    <w:p>
      <w:pPr>
        <w:ind w:left="640" w:right="340" w:hanging="314"/>
        <w:spacing w:after="0" w:line="27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product candidates or diagnostic tests that we develop may be covered by third parties’ patents or other exclusive rights; or</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License and Collaboration A</w:t>
      </w:r>
      <w:r>
        <w:rPr>
          <w:rFonts w:ascii="Arial" w:cs="Arial" w:eastAsia="Arial" w:hAnsi="Arial"/>
          <w:sz w:val="18"/>
          <w:szCs w:val="18"/>
          <w:color w:val="auto"/>
        </w:rPr>
        <w:t>g</w:t>
      </w:r>
      <w:r>
        <w:rPr>
          <w:rFonts w:ascii="Arial" w:cs="Arial" w:eastAsia="Arial" w:hAnsi="Arial"/>
          <w:sz w:val="18"/>
          <w:szCs w:val="18"/>
          <w:u w:val="single" w:color="auto"/>
          <w:color w:val="auto"/>
        </w:rPr>
        <w:t>reements</w:t>
      </w:r>
    </w:p>
    <w:p>
      <w:pPr>
        <w:spacing w:after="0" w:line="112"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b w:val="1"/>
          <w:bCs w:val="1"/>
          <w:i w:val="1"/>
          <w:iCs w:val="1"/>
          <w:color w:val="auto"/>
        </w:rPr>
        <w:t>We have entered into, and may enter into, license or other collaboration agreements that impose certain obligations on us. If we fail to comply with our obligations under such agreements with third parties or otherwise experience disruptions to our business relationships with our current or future licensors, we could lose rights that may be important to our business.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In connection with our efforts to expand our pipeline of product candidates, we have entered into and may further enter into certain licenses or other collaboration agreements in the future pertaining to the in-license of rights to additional candidates. Such agreements may impose various reporting,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 or to pursue other remedies.</w:t>
      </w:r>
    </w:p>
    <w:p>
      <w:pPr>
        <w:spacing w:after="0" w:line="76" w:lineRule="exact"/>
        <w:rPr>
          <w:sz w:val="20"/>
          <w:szCs w:val="20"/>
          <w:color w:val="auto"/>
        </w:rPr>
      </w:pPr>
    </w:p>
    <w:p>
      <w:pPr>
        <w:ind w:right="140" w:firstLine="439"/>
        <w:spacing w:after="0" w:line="252" w:lineRule="auto"/>
        <w:rPr>
          <w:sz w:val="20"/>
          <w:szCs w:val="20"/>
          <w:color w:val="auto"/>
        </w:rPr>
      </w:pPr>
      <w:r>
        <w:rPr>
          <w:rFonts w:ascii="Arial" w:cs="Arial" w:eastAsia="Arial" w:hAnsi="Arial"/>
          <w:sz w:val="18"/>
          <w:szCs w:val="18"/>
          <w:color w:val="auto"/>
        </w:rPr>
        <w:t>We may not be able to obtain licenses at a reasonable cost or on reasonable terms, if at all. Furthermore, if we lose intellectual property rights licensed under existing agreements or fail to obtain future licenses, we may be required to expend considerable time and resources to develop or license replacement technology. If we are unable to do so, we may be unable to develop or commercialize the affected proprietary technologies and product candidates, which could harm our business significantly. Third-party patents may exist which might be enforced against our current or future proprietary technologies and product candidates, resulting in either an injunction prohibiting our sales, or, with respect to our sales, an obligation on our part to pay royalties and/or other forms of compensation to third parties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12" w:lineRule="exact"/>
        <w:rPr>
          <w:sz w:val="20"/>
          <w:szCs w:val="20"/>
          <w:color w:val="auto"/>
        </w:rPr>
      </w:pPr>
    </w:p>
    <w:p>
      <w:pPr>
        <w:ind w:left="640" w:hanging="314"/>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2" w:lineRule="exact"/>
        <w:rPr>
          <w:rFonts w:ascii="Arial" w:cs="Arial" w:eastAsia="Arial" w:hAnsi="Arial"/>
          <w:sz w:val="18"/>
          <w:szCs w:val="18"/>
          <w:color w:val="auto"/>
        </w:rPr>
      </w:pPr>
    </w:p>
    <w:p>
      <w:pPr>
        <w:ind w:left="640" w:right="40" w:hanging="314"/>
        <w:spacing w:after="0" w:line="276"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our product candidates, technology and processes infringe on intellectual property of the licensor that is not subject to the licensing agreement;</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2" w:lineRule="exact"/>
        <w:rPr>
          <w:rFonts w:ascii="Arial" w:cs="Arial" w:eastAsia="Arial" w:hAnsi="Arial"/>
          <w:sz w:val="18"/>
          <w:szCs w:val="18"/>
          <w:color w:val="auto"/>
        </w:rPr>
      </w:pPr>
    </w:p>
    <w:p>
      <w:pPr>
        <w:ind w:left="640" w:right="540" w:hanging="314"/>
        <w:spacing w:after="0" w:line="276"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2"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could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9"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If any of our current or future licensors fail to obtain and maintain patent or other protection for the proprietary intellectual property we license from them, we could lose our rights to the intellectual property, these patents and applications may not be prosecuted and enforced in a manner consistent with the best interests of our business and our competitors could market competing products using the intellectual property. In the event we breach any of our obligations related to such prosecution, we may incur significant liability to our licensing partners, including loss of our right to prosecute the licensed patent applications or early termination of the license by our licensor. We also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licensed from third parties may be subject to retained rights.</w:t>
      </w:r>
    </w:p>
    <w:p>
      <w:pPr>
        <w:spacing w:after="0" w:line="112"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Any license we may enter into could provide for the retention by the licensor of certain rights under their agreements with us, including for example,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whether any future licensors will limit their use of the technology to these uses, and we may incur substantial expenses to enforce our rights to our licensed technology in the event of misuse.</w:t>
      </w:r>
    </w:p>
    <w:p>
      <w:pPr>
        <w:spacing w:after="0" w:line="56" w:lineRule="exact"/>
        <w:rPr>
          <w:sz w:val="20"/>
          <w:szCs w:val="20"/>
          <w:color w:val="auto"/>
        </w:rPr>
      </w:pPr>
    </w:p>
    <w:p>
      <w:pPr>
        <w:ind w:right="80" w:firstLine="439"/>
        <w:spacing w:after="0" w:line="269" w:lineRule="auto"/>
        <w:rPr>
          <w:sz w:val="20"/>
          <w:szCs w:val="20"/>
          <w:color w:val="auto"/>
        </w:rPr>
      </w:pPr>
      <w:r>
        <w:rPr>
          <w:rFonts w:ascii="Arial" w:cs="Arial" w:eastAsia="Arial" w:hAnsi="Arial"/>
          <w:sz w:val="17"/>
          <w:szCs w:val="17"/>
          <w:color w:val="auto"/>
        </w:rPr>
        <w:t>In addition, the U.S. government retains certain rights in inventions produced with its financial assistance under the Patent and Trademark Law Amendments Act, or the Bayh-Dole Act. The U.S.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The Bayh-Dole Act also imposes other obligations, including the requirement that products covered by the government funded patents be manufactured</w:t>
      </w:r>
    </w:p>
    <w:p>
      <w:pPr>
        <w:spacing w:after="0" w:line="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United States. We sometimes collaborate with academic institutions to accelerate our preclinical research or development. In the future, we may own or license technology which is critical to our business that is developed in whole or in part with federal funds subject to the Bayh-Dole Act. If the federal government exercises its rights under the Bayh-Dole Act, our ability to enforce or otherwise exploit patents covering such technology may be adversely affected.</w:t>
      </w:r>
    </w:p>
    <w:p>
      <w:pPr>
        <w:spacing w:after="0" w:line="75" w:lineRule="exact"/>
        <w:rPr>
          <w:sz w:val="20"/>
          <w:szCs w:val="20"/>
          <w:color w:val="auto"/>
        </w:rPr>
      </w:pPr>
    </w:p>
    <w:p>
      <w:pPr>
        <w:ind w:right="200"/>
        <w:spacing w:after="0" w:line="319" w:lineRule="auto"/>
        <w:rPr>
          <w:sz w:val="20"/>
          <w:szCs w:val="20"/>
          <w:color w:val="auto"/>
        </w:rPr>
      </w:pPr>
      <w:r>
        <w:rPr>
          <w:rFonts w:ascii="Arial" w:cs="Arial" w:eastAsia="Arial" w:hAnsi="Arial"/>
          <w:sz w:val="17"/>
          <w:szCs w:val="17"/>
          <w:b w:val="1"/>
          <w:bCs w:val="1"/>
          <w:i w:val="1"/>
          <w:iCs w:val="1"/>
          <w:color w:val="auto"/>
        </w:rPr>
        <w:t>We may rely on trade secrets and proprietary know-how, which can be difficult to trace and enforce and, if we are unable to protect the confidentiality of our trade secrets and proprietary know-how, our business and competitive position would be harmed.</w:t>
      </w:r>
    </w:p>
    <w:p>
      <w:pPr>
        <w:spacing w:after="0" w:line="13" w:lineRule="exact"/>
        <w:rPr>
          <w:sz w:val="20"/>
          <w:szCs w:val="20"/>
          <w:color w:val="auto"/>
        </w:rPr>
      </w:pPr>
    </w:p>
    <w:p>
      <w:pPr>
        <w:ind w:right="40" w:firstLine="439"/>
        <w:spacing w:after="0" w:line="249" w:lineRule="auto"/>
        <w:rPr>
          <w:sz w:val="20"/>
          <w:szCs w:val="20"/>
          <w:color w:val="auto"/>
        </w:rPr>
      </w:pPr>
      <w:r>
        <w:rPr>
          <w:rFonts w:ascii="Arial" w:cs="Arial" w:eastAsia="Arial" w:hAnsi="Arial"/>
          <w:sz w:val="18"/>
          <w:szCs w:val="18"/>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Additionally, because we expect to rely on third parties in the development and manufacture of our product candidates, we must, at times, share trade secrets with them.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w:t>
      </w:r>
    </w:p>
    <w:p>
      <w:pPr>
        <w:spacing w:after="0" w:line="85" w:lineRule="exact"/>
        <w:rPr>
          <w:sz w:val="20"/>
          <w:szCs w:val="20"/>
          <w:color w:val="auto"/>
        </w:rPr>
      </w:pPr>
    </w:p>
    <w:p>
      <w:pPr>
        <w:ind w:right="220" w:firstLine="439"/>
        <w:spacing w:after="0" w:line="256" w:lineRule="auto"/>
        <w:rPr>
          <w:sz w:val="20"/>
          <w:szCs w:val="20"/>
          <w:color w:val="auto"/>
        </w:rPr>
      </w:pPr>
      <w:r>
        <w:rPr>
          <w:rFonts w:ascii="Arial" w:cs="Arial" w:eastAsia="Arial" w:hAnsi="Arial"/>
          <w:sz w:val="18"/>
          <w:szCs w:val="18"/>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75"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Potential Third-Party Claims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product discovery and development efforts.</w:t>
      </w:r>
    </w:p>
    <w:p>
      <w:pPr>
        <w:spacing w:after="0" w:line="112" w:lineRule="exact"/>
        <w:rPr>
          <w:sz w:val="20"/>
          <w:szCs w:val="20"/>
          <w:color w:val="auto"/>
        </w:rPr>
      </w:pPr>
    </w:p>
    <w:p>
      <w:pPr>
        <w:ind w:right="40" w:firstLine="439"/>
        <w:spacing w:after="0" w:line="277"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w:t>
      </w:r>
    </w:p>
    <w:p>
      <w:pPr>
        <w:spacing w:after="0" w:line="2"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 xml:space="preserve">patents, including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80" w:lineRule="exact"/>
        <w:rPr>
          <w:sz w:val="20"/>
          <w:szCs w:val="20"/>
          <w:color w:val="auto"/>
        </w:rPr>
      </w:pPr>
    </w:p>
    <w:p>
      <w:pPr>
        <w:ind w:right="160" w:firstLine="439"/>
        <w:spacing w:after="0" w:line="252" w:lineRule="auto"/>
        <w:rPr>
          <w:sz w:val="20"/>
          <w:szCs w:val="20"/>
          <w:color w:val="auto"/>
        </w:rPr>
      </w:pPr>
      <w:r>
        <w:rPr>
          <w:rFonts w:ascii="Arial" w:cs="Arial" w:eastAsia="Arial" w:hAnsi="Arial"/>
          <w:sz w:val="18"/>
          <w:szCs w:val="18"/>
          <w:color w:val="auto"/>
        </w:rPr>
        <w:t>We also may be subject to, or threatened with, other third-party claims relating to alleged infringement of intellectual property or other proprietary rights, including breach of nondisclosure, nonuse, noncompetition and non-solicitation provisions, intellectual property assignment and ownership, and misuse or misappropriation of intellectual property, trade secrets and other confidential information, among others. If a court of competent jurisdiction finds us liable for any such claims, we may be prohibited from using certain intellectual property, trade secrets and confidential information, effectively blocking our ability to seek patent protection for our inventions and slowing or halting the progress of our clinical development and commercialization efforts.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 third-party claims that we infringe its intellectual property rights, we may face a number of issues, including, but not limited to:</w:t>
      </w:r>
    </w:p>
    <w:p>
      <w:pPr>
        <w:spacing w:after="0" w:line="112" w:lineRule="exact"/>
        <w:rPr>
          <w:sz w:val="20"/>
          <w:szCs w:val="20"/>
          <w:color w:val="auto"/>
        </w:rPr>
      </w:pPr>
    </w:p>
    <w:p>
      <w:pPr>
        <w:ind w:left="640" w:right="280" w:hanging="314"/>
        <w:spacing w:after="0" w:line="276"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56" w:lineRule="exact"/>
        <w:rPr>
          <w:rFonts w:ascii="Arial" w:cs="Arial" w:eastAsia="Arial" w:hAnsi="Arial"/>
          <w:sz w:val="18"/>
          <w:szCs w:val="18"/>
          <w:color w:val="auto"/>
        </w:rPr>
      </w:pPr>
    </w:p>
    <w:p>
      <w:pPr>
        <w:ind w:left="640" w:right="80" w:hanging="314"/>
        <w:spacing w:after="0" w:line="261"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70" w:lineRule="exact"/>
        <w:rPr>
          <w:rFonts w:ascii="Arial" w:cs="Arial" w:eastAsia="Arial" w:hAnsi="Arial"/>
          <w:sz w:val="18"/>
          <w:szCs w:val="18"/>
          <w:color w:val="auto"/>
        </w:rPr>
      </w:pPr>
    </w:p>
    <w:p>
      <w:pPr>
        <w:ind w:left="640" w:right="580" w:hanging="314"/>
        <w:spacing w:after="0" w:line="276"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6" w:lineRule="exact"/>
        <w:rPr>
          <w:rFonts w:ascii="Arial" w:cs="Arial" w:eastAsia="Arial" w:hAnsi="Arial"/>
          <w:sz w:val="18"/>
          <w:szCs w:val="18"/>
          <w:color w:val="auto"/>
        </w:rPr>
      </w:pPr>
    </w:p>
    <w:p>
      <w:pPr>
        <w:jc w:val="both"/>
        <w:ind w:left="640" w:right="20" w:hanging="314"/>
        <w:spacing w:after="0" w:line="261"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70" w:lineRule="exact"/>
        <w:rPr>
          <w:rFonts w:ascii="Arial" w:cs="Arial" w:eastAsia="Arial" w:hAnsi="Arial"/>
          <w:sz w:val="18"/>
          <w:szCs w:val="18"/>
          <w:color w:val="auto"/>
        </w:rPr>
      </w:pPr>
    </w:p>
    <w:p>
      <w:pPr>
        <w:ind w:left="640" w:right="360" w:hanging="314"/>
        <w:spacing w:after="0" w:line="276"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redesigning our product candidates or processes so that they do not infringe, which may not be possible or may require substantial monetary expenditures and time.</w:t>
      </w:r>
    </w:p>
    <w:p>
      <w:pPr>
        <w:spacing w:after="0" w:line="56"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80" w:lineRule="exact"/>
        <w:rPr>
          <w:sz w:val="20"/>
          <w:szCs w:val="20"/>
          <w:color w:val="auto"/>
        </w:rPr>
      </w:pPr>
    </w:p>
    <w:p>
      <w:pPr>
        <w:ind w:right="80" w:firstLine="439"/>
        <w:spacing w:after="0" w:line="265" w:lineRule="auto"/>
        <w:rPr>
          <w:sz w:val="20"/>
          <w:szCs w:val="20"/>
          <w:color w:val="auto"/>
        </w:rPr>
      </w:pPr>
      <w:r>
        <w:rPr>
          <w:rFonts w:ascii="Arial" w:cs="Arial" w:eastAsia="Arial" w:hAnsi="Arial"/>
          <w:sz w:val="17"/>
          <w:szCs w:val="17"/>
          <w:color w:val="auto"/>
        </w:rPr>
        <w:t>If we are found to infringe a third-party’s intellectual property rights, we could be forced, including by court order, to cease developing, manufacturing or commercializing the infringing technologies, product candidates or products. Alternatively, we may be required to obtain a license from such third-party in order to use the infringing technology and continue developing, manufacturing or marketing the infringing technologies, product candidates or products. However, we may not be able to obtain any required license on commercially reasonable terms or at all. Even if we were able to obtain a license, it could be non-exclusive, thereby giving our competitors access to the same technologies licensed to us. A finding of infringement could prevent us from commercializing our technologies, product candidates or products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0"/>
        <w:spacing w:after="0" w:line="288" w:lineRule="auto"/>
        <w:rPr>
          <w:sz w:val="20"/>
          <w:szCs w:val="20"/>
          <w:color w:val="auto"/>
        </w:rPr>
      </w:pPr>
      <w:r>
        <w:rPr>
          <w:rFonts w:ascii="Arial" w:cs="Arial" w:eastAsia="Arial" w:hAnsi="Arial"/>
          <w:sz w:val="18"/>
          <w:szCs w:val="18"/>
          <w:b w:val="1"/>
          <w:bCs w:val="1"/>
          <w:i w:val="1"/>
          <w:iCs w:val="1"/>
          <w:color w:val="auto"/>
        </w:rPr>
        <w:t>Our collaborators may assert ownership or commercial rights to inventions they develop from research we support or that we develop or otherwise arising from the collaboration.</w:t>
      </w:r>
    </w:p>
    <w:p>
      <w:pPr>
        <w:spacing w:after="0" w:line="36" w:lineRule="exact"/>
        <w:rPr>
          <w:sz w:val="20"/>
          <w:szCs w:val="20"/>
          <w:color w:val="auto"/>
        </w:rPr>
      </w:pPr>
    </w:p>
    <w:p>
      <w:pPr>
        <w:ind w:right="40" w:firstLine="439"/>
        <w:spacing w:after="0" w:line="269" w:lineRule="auto"/>
        <w:rPr>
          <w:sz w:val="20"/>
          <w:szCs w:val="20"/>
          <w:color w:val="auto"/>
        </w:rPr>
      </w:pPr>
      <w:r>
        <w:rPr>
          <w:rFonts w:ascii="Arial" w:cs="Arial" w:eastAsia="Arial" w:hAnsi="Arial"/>
          <w:sz w:val="17"/>
          <w:szCs w:val="17"/>
          <w:color w:val="auto"/>
        </w:rPr>
        <w:t>We collaborate with various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in cases where written agreements either do or do not exist, we may be limited in our ability to capitalize on the market potential of these inventions or developments.</w:t>
      </w:r>
    </w:p>
    <w:p>
      <w:pPr>
        <w:spacing w:after="0" w:line="64" w:lineRule="exact"/>
        <w:rPr>
          <w:sz w:val="20"/>
          <w:szCs w:val="20"/>
          <w:color w:val="auto"/>
        </w:rPr>
      </w:pPr>
    </w:p>
    <w:p>
      <w:pPr>
        <w:ind w:right="100" w:firstLine="439"/>
        <w:spacing w:after="0" w:line="254" w:lineRule="auto"/>
        <w:rPr>
          <w:sz w:val="20"/>
          <w:szCs w:val="20"/>
          <w:color w:val="auto"/>
        </w:rPr>
      </w:pPr>
      <w:r>
        <w:rPr>
          <w:rFonts w:ascii="Arial" w:cs="Arial" w:eastAsia="Arial" w:hAnsi="Arial"/>
          <w:sz w:val="18"/>
          <w:szCs w:val="18"/>
          <w:color w:val="auto"/>
        </w:rPr>
        <w:t>Additionally, our licensors may have relied on third-party consultants or collaborators or on funds from third parties, such as the U.S. government, such that our licensors are not the sole and exclusive owners of the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12"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We may be subject to claims that employees, former employees or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not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or portion of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7"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In addition, while we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competitive position, business, financial conditions, results of operations, and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assert that we are employing their proprietary technology without authorization.</w:t>
      </w:r>
    </w:p>
    <w:p>
      <w:pPr>
        <w:spacing w:after="0" w:line="112"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There may be third-party patents of which we are currently unaware with claims to compounds, compositions of matter, materials, formulations, methods of manufacture or methods of use that encompass the composition, use or manufacture of our product candidates. There may be currently pending patent applications of which we are currently unaware which may later result in issued patents that our product candidates or their use or manufacture may infringe. It is also possible that patents owned by third parties of which we are aware, but which we do not believe are relevant to our product candidates and other proprietary technologies we may develop, could be found to be infringed by our product candidates.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0" w:lineRule="exact"/>
        <w:rPr>
          <w:sz w:val="20"/>
          <w:szCs w:val="20"/>
          <w:color w:val="auto"/>
        </w:rPr>
      </w:pPr>
    </w:p>
    <w:p>
      <w:pPr>
        <w:ind w:right="80" w:firstLine="439"/>
        <w:spacing w:after="0" w:line="250"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80" w:lineRule="exact"/>
        <w:rPr>
          <w:sz w:val="20"/>
          <w:szCs w:val="20"/>
          <w:color w:val="auto"/>
        </w:rPr>
      </w:pPr>
    </w:p>
    <w:p>
      <w:pPr>
        <w:ind w:right="980"/>
        <w:spacing w:after="0" w:line="288"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36" w:lineRule="exact"/>
        <w:rPr>
          <w:sz w:val="20"/>
          <w:szCs w:val="20"/>
          <w:color w:val="auto"/>
        </w:rPr>
      </w:pPr>
    </w:p>
    <w:p>
      <w:pPr>
        <w:ind w:right="40" w:firstLine="439"/>
        <w:spacing w:after="0" w:line="248" w:lineRule="auto"/>
        <w:rPr>
          <w:sz w:val="20"/>
          <w:szCs w:val="20"/>
          <w:color w:val="auto"/>
        </w:rPr>
      </w:pPr>
      <w:r>
        <w:rPr>
          <w:rFonts w:ascii="Arial" w:cs="Arial" w:eastAsia="Arial" w:hAnsi="Arial"/>
          <w:sz w:val="18"/>
          <w:szCs w:val="18"/>
          <w:color w:val="auto"/>
        </w:rPr>
        <w:t>As is common in the biotechnology and biopharmaceutical industries, we employ individuals who were previously employed at universities or other biotechnology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 court could also prohibit us from using technologies or features that are essential to our product candidates, if such technologies or features are found to incorporate or be derived from the trade secrets or other proprietary information of the former employers.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91" w:lineRule="exact"/>
        <w:rPr>
          <w:sz w:val="20"/>
          <w:szCs w:val="20"/>
          <w:color w:val="auto"/>
        </w:rPr>
      </w:pPr>
    </w:p>
    <w:p>
      <w:pPr>
        <w:ind w:right="480"/>
        <w:spacing w:after="0" w:line="28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develop any future product candidates on acceptable terms.</w:t>
      </w:r>
    </w:p>
    <w:p>
      <w:pPr>
        <w:spacing w:after="0" w:line="36" w:lineRule="exact"/>
        <w:rPr>
          <w:sz w:val="20"/>
          <w:szCs w:val="20"/>
          <w:color w:val="auto"/>
        </w:rPr>
      </w:pPr>
    </w:p>
    <w:p>
      <w:pPr>
        <w:ind w:right="180" w:firstLine="439"/>
        <w:spacing w:after="0" w:line="276" w:lineRule="auto"/>
        <w:rPr>
          <w:sz w:val="20"/>
          <w:szCs w:val="20"/>
          <w:color w:val="auto"/>
        </w:rPr>
      </w:pPr>
      <w:r>
        <w:rPr>
          <w:rFonts w:ascii="Arial" w:cs="Arial" w:eastAsia="Arial" w:hAnsi="Arial"/>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6"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compounds, compositions, formulations,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compounds, compositions formulations, methods of use or processes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439"/>
        <w:spacing w:after="0" w:line="251"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82" w:lineRule="exact"/>
        <w:rPr>
          <w:sz w:val="20"/>
          <w:szCs w:val="20"/>
          <w:color w:val="auto"/>
        </w:rPr>
      </w:pPr>
    </w:p>
    <w:p>
      <w:pPr>
        <w:ind w:right="100" w:firstLine="439"/>
        <w:spacing w:after="0" w:line="252"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which may be more established, or have different or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80" w:lineRule="exact"/>
        <w:rPr>
          <w:sz w:val="20"/>
          <w:szCs w:val="20"/>
          <w:color w:val="auto"/>
        </w:rPr>
      </w:pPr>
    </w:p>
    <w:p>
      <w:pPr>
        <w:ind w:right="80"/>
        <w:spacing w:after="0" w:line="288"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other intellectual property, or the patents or intellectual property of our licensors, which could be expensive, time-consuming and unsuccessful.</w:t>
      </w:r>
    </w:p>
    <w:p>
      <w:pPr>
        <w:spacing w:after="0" w:line="36"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Competitors or other third parties may infringe our patents, trademarks, copyrights or other intellectual property, or the intellectual property of our current or future licensors. To counter infringement or unauthorized use, we may be required to file infringement claims, which can be expensive and time-consuming and divert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addition, in any infringement proceeding, a court may decide that one or more of our patents is not valid or is unenforceable, in whole or in part, and that we do not have the right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85"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 xml:space="preserve">We may choose to challenge the patentability of claims in a third-party’s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80"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or, in some cases, not at all,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40"/>
        <w:spacing w:after="0" w:line="276" w:lineRule="auto"/>
        <w:rPr>
          <w:sz w:val="20"/>
          <w:szCs w:val="20"/>
          <w:color w:val="auto"/>
        </w:rPr>
      </w:pPr>
      <w:r>
        <w:rPr>
          <w:rFonts w:ascii="Arial" w:cs="Arial" w:eastAsia="Arial" w:hAnsi="Arial"/>
          <w:sz w:val="18"/>
          <w:szCs w:val="18"/>
          <w:color w:val="auto"/>
        </w:rPr>
        <w:t>owned by or in-licensed to us, we may incur substantial costs, divert management’s time and expend other resources, even if we are successful.</w:t>
      </w:r>
    </w:p>
    <w:p>
      <w:pPr>
        <w:spacing w:after="0" w:line="56" w:lineRule="exact"/>
        <w:rPr>
          <w:sz w:val="20"/>
          <w:szCs w:val="20"/>
          <w:color w:val="auto"/>
        </w:rPr>
      </w:pPr>
    </w:p>
    <w:p>
      <w:pPr>
        <w:ind w:right="120" w:firstLine="439"/>
        <w:spacing w:after="0" w:line="251"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9" w:lineRule="exact"/>
        <w:rPr>
          <w:sz w:val="20"/>
          <w:szCs w:val="20"/>
          <w:color w:val="auto"/>
        </w:rPr>
      </w:pPr>
    </w:p>
    <w:p>
      <w:pPr>
        <w:ind w:right="20" w:firstLine="439"/>
        <w:spacing w:after="0" w:line="268"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64"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Patent Laws and Protection</w:t>
      </w:r>
    </w:p>
    <w:p>
      <w:pPr>
        <w:spacing w:after="0" w:line="112" w:lineRule="exact"/>
        <w:rPr>
          <w:sz w:val="20"/>
          <w:szCs w:val="20"/>
          <w:color w:val="auto"/>
        </w:rPr>
      </w:pPr>
    </w:p>
    <w:p>
      <w:pPr>
        <w:ind w:right="700"/>
        <w:spacing w:after="0" w:line="26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5" w:lineRule="exact"/>
        <w:rPr>
          <w:sz w:val="20"/>
          <w:szCs w:val="20"/>
          <w:color w:val="auto"/>
        </w:rPr>
      </w:pPr>
    </w:p>
    <w:p>
      <w:pPr>
        <w:ind w:firstLine="439"/>
        <w:spacing w:after="0" w:line="266" w:lineRule="auto"/>
        <w:rPr>
          <w:sz w:val="20"/>
          <w:szCs w:val="20"/>
          <w:color w:val="auto"/>
        </w:rPr>
      </w:pPr>
      <w:r>
        <w:rPr>
          <w:rFonts w:ascii="Arial" w:cs="Arial" w:eastAsia="Arial" w:hAnsi="Arial"/>
          <w:sz w:val="17"/>
          <w:szCs w:val="17"/>
          <w:color w:val="auto"/>
        </w:rPr>
        <w:t>Periodic maintenance fees, renewal fees, annuities fees and various other governmental fees on any issued patent and/or patent application are due to be paid to the USPTO and foreign patent agencies in several stages over the lifetime of the patent and/or patent application.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patents, if issued, covering our product candidates could be found invalid or unenforceable if challenged in court or the USPTO.</w:t>
      </w:r>
    </w:p>
    <w:p>
      <w:pPr>
        <w:spacing w:after="0" w:line="124"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patent prosecution. The outcome following legal assertions of invalidity and unenforceability is unpredictable. In 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business, financial conditions,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0" w:lineRule="exact"/>
        <w:rPr>
          <w:sz w:val="20"/>
          <w:szCs w:val="20"/>
          <w:color w:val="auto"/>
        </w:rPr>
      </w:pPr>
    </w:p>
    <w:p>
      <w:pPr>
        <w:ind w:right="120" w:firstLine="439"/>
        <w:spacing w:after="0" w:line="250" w:lineRule="auto"/>
        <w:rPr>
          <w:sz w:val="20"/>
          <w:szCs w:val="20"/>
          <w:color w:val="auto"/>
        </w:rPr>
      </w:pPr>
      <w:r>
        <w:rPr>
          <w:rFonts w:ascii="Arial" w:cs="Arial" w:eastAsia="Arial" w:hAnsi="Arial"/>
          <w:sz w:val="18"/>
          <w:szCs w:val="18"/>
          <w:color w:val="auto"/>
        </w:rPr>
        <w:t xml:space="preserve">Third parties may also raise similar claims before administrative bodies in the United States or abroad, even outside the context of litigation. Such mechanisms include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83"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Likewise, our current licensed or owned patents are expected to expire between 2029 and 2043,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Our current licensed or owned pending patent applications covering our proprietary technologies or our product candidates that if issued as patents are expected to expire from 2029 through 2043, without taking into account any possible patent term adjustments or extensions. However, we cannot be assured that the USPTO or relevant foreign patent offices will grant any of these patent applications not already granted or that a court will uphold any patents already issued.</w:t>
      </w:r>
    </w:p>
    <w:p>
      <w:pPr>
        <w:spacing w:after="0" w:line="79" w:lineRule="exact"/>
        <w:rPr>
          <w:sz w:val="20"/>
          <w:szCs w:val="20"/>
          <w:color w:val="auto"/>
        </w:rPr>
      </w:pPr>
    </w:p>
    <w:p>
      <w:pPr>
        <w:ind w:right="680"/>
        <w:spacing w:after="0" w:line="288" w:lineRule="auto"/>
        <w:rPr>
          <w:sz w:val="20"/>
          <w:szCs w:val="20"/>
          <w:color w:val="auto"/>
        </w:rPr>
      </w:pPr>
      <w:r>
        <w:rPr>
          <w:rFonts w:ascii="Arial" w:cs="Arial" w:eastAsia="Arial" w:hAnsi="Arial"/>
          <w:sz w:val="18"/>
          <w:szCs w:val="18"/>
          <w:b w:val="1"/>
          <w:bCs w:val="1"/>
          <w:i w:val="1"/>
          <w:iCs w:val="1"/>
          <w:color w:val="auto"/>
        </w:rPr>
        <w:t>Changes in patent law in the United States and in foreign jurisdictions could diminish the value of patents in general, thereby impairing our ability to protect our products.</w:t>
      </w:r>
    </w:p>
    <w:p>
      <w:pPr>
        <w:spacing w:after="0" w:line="36"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Our success is heavily dependent on intellectual property, particularly patents. Obtaining and enforcing patents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84" w:lineRule="exact"/>
        <w:rPr>
          <w:sz w:val="20"/>
          <w:szCs w:val="20"/>
          <w:color w:val="auto"/>
        </w:rPr>
      </w:pPr>
    </w:p>
    <w:p>
      <w:pPr>
        <w:ind w:right="20" w:firstLine="439"/>
        <w:spacing w:after="0" w:line="276"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inter-parties review and derivation proceedings. Because of a lower evidentiary standard in USPTO proceedings compared to the evidentiary standard in United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82"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0" w:lineRule="exact"/>
        <w:rPr>
          <w:sz w:val="20"/>
          <w:szCs w:val="20"/>
          <w:color w:val="auto"/>
        </w:rPr>
      </w:pPr>
    </w:p>
    <w:p>
      <w:pPr>
        <w:ind w:right="20" w:firstLine="439"/>
        <w:spacing w:after="0" w:line="266" w:lineRule="auto"/>
        <w:rPr>
          <w:sz w:val="20"/>
          <w:szCs w:val="20"/>
          <w:color w:val="auto"/>
        </w:rPr>
      </w:pPr>
      <w:r>
        <w:rPr>
          <w:rFonts w:ascii="Arial" w:cs="Arial" w:eastAsia="Arial" w:hAnsi="Arial"/>
          <w:sz w:val="17"/>
          <w:szCs w:val="17"/>
          <w:color w:val="auto"/>
        </w:rPr>
        <w:t>Further, on June 1, 2023, the European Union Patent Package, or the EU Patent Package, regulations were implemented with the goal of providing a single pan-European Unitary Patent and a new European Unified Patent Court, or UPC, for litigation involving European patents.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66" w:lineRule="exact"/>
        <w:rPr>
          <w:sz w:val="20"/>
          <w:szCs w:val="20"/>
          <w:color w:val="auto"/>
        </w:rPr>
      </w:pPr>
    </w:p>
    <w:p>
      <w:pPr>
        <w:ind w:right="400"/>
        <w:spacing w:after="0" w:line="288"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36" w:lineRule="exact"/>
        <w:rPr>
          <w:sz w:val="20"/>
          <w:szCs w:val="20"/>
          <w:color w:val="auto"/>
        </w:rPr>
      </w:pPr>
    </w:p>
    <w:p>
      <w:pPr>
        <w:ind w:right="40" w:firstLine="439"/>
        <w:spacing w:after="0" w:line="267"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66" w:lineRule="exact"/>
        <w:rPr>
          <w:sz w:val="20"/>
          <w:szCs w:val="20"/>
          <w:color w:val="auto"/>
        </w:rPr>
      </w:pPr>
    </w:p>
    <w:p>
      <w:pPr>
        <w:ind w:right="160" w:firstLine="439"/>
        <w:spacing w:after="0" w:line="25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w:t>
      </w:r>
    </w:p>
    <w:p>
      <w:pPr>
        <w:spacing w:after="0" w:line="76"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be inadequate to obtain a significant commercial advantage from the intellectual property that we develop or license.</w:t>
      </w:r>
    </w:p>
    <w:p>
      <w:pPr>
        <w:spacing w:after="0" w:line="112" w:lineRule="exact"/>
        <w:rPr>
          <w:sz w:val="20"/>
          <w:szCs w:val="20"/>
          <w:color w:val="auto"/>
        </w:rPr>
      </w:pPr>
    </w:p>
    <w:p>
      <w:pPr>
        <w:ind w:right="40" w:firstLine="439"/>
        <w:spacing w:after="0" w:line="249" w:lineRule="auto"/>
        <w:rPr>
          <w:sz w:val="20"/>
          <w:szCs w:val="20"/>
          <w:color w:val="auto"/>
        </w:rPr>
      </w:pPr>
      <w:r>
        <w:rPr>
          <w:rFonts w:ascii="Arial" w:cs="Arial" w:eastAsia="Arial" w:hAnsi="Arial"/>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2"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technologies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82" w:lineRule="exact"/>
        <w:rPr>
          <w:sz w:val="20"/>
          <w:szCs w:val="20"/>
          <w:color w:val="auto"/>
        </w:rPr>
      </w:pPr>
    </w:p>
    <w:p>
      <w:pPr>
        <w:ind w:right="440"/>
        <w:spacing w:after="0" w:line="288"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materially harmed.</w:t>
      </w:r>
    </w:p>
    <w:p>
      <w:pPr>
        <w:spacing w:after="0" w:line="36" w:lineRule="exact"/>
        <w:rPr>
          <w:sz w:val="20"/>
          <w:szCs w:val="20"/>
          <w:color w:val="auto"/>
        </w:rPr>
      </w:pPr>
    </w:p>
    <w:p>
      <w:pPr>
        <w:ind w:right="20" w:firstLine="439"/>
        <w:spacing w:after="0" w:line="249"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w:t>
      </w:r>
    </w:p>
    <w:p>
      <w:pPr>
        <w:spacing w:after="0" w:line="84" w:lineRule="exact"/>
        <w:rPr>
          <w:sz w:val="20"/>
          <w:szCs w:val="20"/>
          <w:color w:val="auto"/>
        </w:rPr>
      </w:pPr>
    </w:p>
    <w:p>
      <w:pPr>
        <w:ind w:right="220"/>
        <w:spacing w:after="0" w:line="28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6" w:lineRule="exact"/>
        <w:rPr>
          <w:sz w:val="20"/>
          <w:szCs w:val="20"/>
          <w:color w:val="auto"/>
        </w:rPr>
      </w:pPr>
    </w:p>
    <w:p>
      <w:pPr>
        <w:ind w:firstLine="439"/>
        <w:spacing w:after="0" w:line="268" w:lineRule="auto"/>
        <w:rPr>
          <w:sz w:val="20"/>
          <w:szCs w:val="20"/>
          <w:color w:val="auto"/>
        </w:rPr>
      </w:pPr>
      <w:r>
        <w:rPr>
          <w:rFonts w:ascii="Arial" w:cs="Arial" w:eastAsia="Arial" w:hAnsi="Arial"/>
          <w:sz w:val="17"/>
          <w:szCs w:val="17"/>
          <w:color w:val="auto"/>
        </w:rPr>
        <w:t>Our current or future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that may be costly and time-consuming, and our trademarks may not survive such proceedings. If we are unable to establish name recognition based on our trademarks and trade names, we may not be able to compete effectively and our business may be adversely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tradenames.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Third Parties Generally</w:t>
      </w:r>
    </w:p>
    <w:p>
      <w:pPr>
        <w:spacing w:after="0" w:line="11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i w:val="1"/>
          <w:iCs w:val="1"/>
          <w:color w:val="auto"/>
        </w:rPr>
        <w:t>We rely on third parties to assist in conducting our preclinical studies and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55" w:lineRule="exact"/>
        <w:rPr>
          <w:sz w:val="20"/>
          <w:szCs w:val="20"/>
          <w:color w:val="auto"/>
        </w:rPr>
      </w:pPr>
    </w:p>
    <w:p>
      <w:pPr>
        <w:ind w:right="180" w:firstLine="439"/>
        <w:spacing w:after="0" w:line="252" w:lineRule="auto"/>
        <w:rPr>
          <w:sz w:val="20"/>
          <w:szCs w:val="20"/>
          <w:color w:val="auto"/>
        </w:rPr>
      </w:pPr>
      <w:r>
        <w:rPr>
          <w:rFonts w:ascii="Arial" w:cs="Arial" w:eastAsia="Arial" w:hAnsi="Arial"/>
          <w:sz w:val="18"/>
          <w:szCs w:val="18"/>
          <w:color w:val="auto"/>
        </w:rPr>
        <w:t>We have relied upon and plan to continue to rely on third parties, such as laboratories, CROs, clinical data management organizations, medical institutions and clinical investigators, to conduct our preclinical studies and clinical trials and expect to rely on these third parties to conduct preclinical studies and clinical trials of any other product candidate that we develop. Any of these third parties may terminate their engagements with us under certain circumstances. We may not be able to enter into alternative arrangements or do so on commercially reasonable terms. Moreover, delays may occur, which could negatively impact our ability to meet our expected clinical development timelines and harm our business, financial condition and prospects.</w:t>
      </w:r>
    </w:p>
    <w:p>
      <w:pPr>
        <w:spacing w:after="0" w:line="80" w:lineRule="exact"/>
        <w:rPr>
          <w:sz w:val="20"/>
          <w:szCs w:val="20"/>
          <w:color w:val="auto"/>
        </w:rPr>
      </w:pPr>
    </w:p>
    <w:p>
      <w:pPr>
        <w:ind w:right="40" w:firstLine="439"/>
        <w:spacing w:after="0" w:line="250" w:lineRule="auto"/>
        <w:rPr>
          <w:sz w:val="20"/>
          <w:szCs w:val="20"/>
          <w:color w:val="auto"/>
        </w:rPr>
      </w:pPr>
      <w:r>
        <w:rPr>
          <w:rFonts w:ascii="Arial" w:cs="Arial" w:eastAsia="Arial" w:hAnsi="Arial"/>
          <w:sz w:val="18"/>
          <w:szCs w:val="18"/>
          <w:color w:val="auto"/>
        </w:rPr>
        <w:t>Although our reliance on these third parties for preclinical and clinical development activities limits our control over these activities, we remain responsible for ensuring that each of our preclinical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83"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87"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preclinical and clinical development timelines. Although we carefully manage our relationships with third 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82" w:lineRule="exact"/>
        <w:rPr>
          <w:sz w:val="20"/>
          <w:szCs w:val="20"/>
          <w:color w:val="auto"/>
        </w:rPr>
      </w:pPr>
    </w:p>
    <w:p>
      <w:pPr>
        <w:ind w:right="240" w:firstLine="439"/>
        <w:spacing w:after="0" w:line="261"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Third-Party Manufacturers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55"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80"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5" w:lineRule="exact"/>
        <w:rPr>
          <w:sz w:val="20"/>
          <w:szCs w:val="20"/>
          <w:color w:val="auto"/>
        </w:rPr>
      </w:pPr>
    </w:p>
    <w:p>
      <w:pPr>
        <w:ind w:left="640" w:right="220" w:hanging="314"/>
        <w:spacing w:after="0" w:line="261"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70" w:lineRule="exact"/>
        <w:rPr>
          <w:rFonts w:ascii="Arial" w:cs="Arial" w:eastAsia="Arial" w:hAnsi="Arial"/>
          <w:sz w:val="18"/>
          <w:szCs w:val="18"/>
          <w:color w:val="auto"/>
        </w:rPr>
      </w:pPr>
    </w:p>
    <w:p>
      <w:pPr>
        <w:ind w:left="640" w:hanging="31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2" w:lineRule="exact"/>
        <w:rPr>
          <w:rFonts w:ascii="Arial" w:cs="Arial" w:eastAsia="Arial" w:hAnsi="Arial"/>
          <w:sz w:val="18"/>
          <w:szCs w:val="18"/>
          <w:color w:val="auto"/>
        </w:rPr>
      </w:pPr>
    </w:p>
    <w:p>
      <w:pPr>
        <w:ind w:left="640" w:right="140" w:hanging="314"/>
        <w:spacing w:after="0" w:line="276"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2" w:lineRule="exact"/>
        <w:rPr>
          <w:rFonts w:ascii="Arial" w:cs="Arial" w:eastAsia="Arial" w:hAnsi="Arial"/>
          <w:sz w:val="18"/>
          <w:szCs w:val="18"/>
          <w:color w:val="auto"/>
        </w:rPr>
      </w:pPr>
    </w:p>
    <w:p>
      <w:pPr>
        <w:ind w:left="640" w:right="200" w:hanging="314"/>
        <w:spacing w:after="0" w:line="276"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study drug or placebo not being properly identified;</w:t>
      </w:r>
    </w:p>
    <w:p>
      <w:pPr>
        <w:spacing w:after="0" w:line="56" w:lineRule="exact"/>
        <w:rPr>
          <w:rFonts w:ascii="Arial" w:cs="Arial" w:eastAsia="Arial" w:hAnsi="Arial"/>
          <w:sz w:val="18"/>
          <w:szCs w:val="18"/>
          <w:color w:val="auto"/>
        </w:rPr>
      </w:pPr>
    </w:p>
    <w:p>
      <w:pPr>
        <w:ind w:left="640" w:right="420" w:hanging="314"/>
        <w:spacing w:after="0" w:line="276"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and at expected cost due to inflationary impacts, leading to clinical trial interruptions, or of drug supplies not being distributed to commercial vendors in a timely manner, resulting in lost sales; and</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112" w:lineRule="exact"/>
        <w:rPr>
          <w:sz w:val="20"/>
          <w:szCs w:val="20"/>
          <w:color w:val="auto"/>
        </w:rPr>
      </w:pPr>
    </w:p>
    <w:p>
      <w:pPr>
        <w:ind w:firstLine="439"/>
        <w:spacing w:after="0" w:line="265" w:lineRule="auto"/>
        <w:rPr>
          <w:sz w:val="20"/>
          <w:szCs w:val="20"/>
          <w:color w:val="auto"/>
        </w:rPr>
      </w:pPr>
      <w:r>
        <w:rPr>
          <w:rFonts w:ascii="Arial" w:cs="Arial" w:eastAsia="Arial" w:hAnsi="Arial"/>
          <w:sz w:val="17"/>
          <w:szCs w:val="17"/>
          <w:color w:val="auto"/>
        </w:rPr>
        <w:t>We do not have complete control over all aspects of the manufacturing process of, and are dependent on, our contract manufacturing partners for compliance with cGMP or similar regulations for manufacturing both active drug substances and finished drug products. Third-party manufacturers may not be able to comply with cGMP or similar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approval for the use of their manufacturing facilities in connection with any of our product candidates that may receive marketing approval.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69" w:lineRule="exact"/>
        <w:rPr>
          <w:sz w:val="20"/>
          <w:szCs w:val="20"/>
          <w:color w:val="auto"/>
        </w:rPr>
      </w:pPr>
    </w:p>
    <w:p>
      <w:pPr>
        <w:ind w:firstLine="439"/>
        <w:spacing w:after="0" w:line="307"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55"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 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Third-Party Suppliers</w:t>
      </w:r>
    </w:p>
    <w:p>
      <w:pPr>
        <w:spacing w:after="0" w:line="112"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some of which are our sole source of supply, and the loss of these third-party suppliers or their inability to supply us with adequate raw materials could harm our business.</w:t>
      </w:r>
    </w:p>
    <w:p>
      <w:pPr>
        <w:spacing w:after="0" w:line="55" w:lineRule="exact"/>
        <w:rPr>
          <w:sz w:val="20"/>
          <w:szCs w:val="20"/>
          <w:color w:val="auto"/>
        </w:rPr>
      </w:pPr>
    </w:p>
    <w:p>
      <w:pPr>
        <w:ind w:right="120" w:firstLine="439"/>
        <w:spacing w:after="0" w:line="250" w:lineRule="auto"/>
        <w:rPr>
          <w:sz w:val="20"/>
          <w:szCs w:val="20"/>
          <w:color w:val="auto"/>
        </w:rPr>
      </w:pPr>
      <w:r>
        <w:rPr>
          <w:rFonts w:ascii="Arial" w:cs="Arial" w:eastAsia="Arial" w:hAnsi="Arial"/>
          <w:sz w:val="18"/>
          <w:szCs w:val="18"/>
          <w:color w:val="auto"/>
        </w:rPr>
        <w:t>We rely on our CDMOs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CDMOs’ acquisition of raw materials needed to produce our product candidates. Any significant delay in the supply of a product candidate or the raw material components thereof for an ongoing clinical trial due to a manufacturer’s need to replace a third-party supplier of raw materials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the commercial launch of our product candidates would be delayed or there would be a shortage in supply, which would impair our ability to generate revenues from the sale of our product candidates.</w:t>
      </w:r>
    </w:p>
    <w:p>
      <w:pPr>
        <w:spacing w:after="0" w:line="83"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Furthermore, for those third-party suppliers who may be our sole source of supply of certain materials, we may not have arrangements in place for a redundant or second-source supply of any such materials in the event any of our current suppliers cease their operations for any reason. Establishing additional or replacement suppliers for the raw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76" w:lineRule="exact"/>
        <w:rPr>
          <w:sz w:val="20"/>
          <w:szCs w:val="20"/>
          <w:color w:val="auto"/>
        </w:rPr>
      </w:pPr>
    </w:p>
    <w:p>
      <w:pPr>
        <w:ind w:right="480"/>
        <w:spacing w:after="0" w:line="267" w:lineRule="auto"/>
        <w:rPr>
          <w:sz w:val="20"/>
          <w:szCs w:val="20"/>
          <w:color w:val="auto"/>
        </w:rPr>
      </w:pPr>
      <w:r>
        <w:rPr>
          <w:rFonts w:ascii="Arial" w:cs="Arial" w:eastAsia="Arial" w:hAnsi="Arial"/>
          <w:sz w:val="18"/>
          <w:szCs w:val="18"/>
          <w:b w:val="1"/>
          <w:bCs w:val="1"/>
          <w:i w:val="1"/>
          <w:iCs w:val="1"/>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55" w:lineRule="exact"/>
        <w:rPr>
          <w:sz w:val="20"/>
          <w:szCs w:val="20"/>
          <w:color w:val="auto"/>
        </w:rPr>
      </w:pPr>
    </w:p>
    <w:p>
      <w:pPr>
        <w:ind w:right="60" w:firstLine="439"/>
        <w:spacing w:after="0" w:line="250" w:lineRule="auto"/>
        <w:rPr>
          <w:sz w:val="20"/>
          <w:szCs w:val="20"/>
          <w:color w:val="auto"/>
        </w:rPr>
      </w:pPr>
      <w:r>
        <w:rPr>
          <w:rFonts w:ascii="Arial" w:cs="Arial" w:eastAsia="Arial" w:hAnsi="Arial"/>
          <w:sz w:val="18"/>
          <w:szCs w:val="18"/>
          <w:color w:val="auto"/>
        </w:rPr>
        <w:t>We have, and may seek in the future, third-party collaborators for the research, development and commercialization of certain of the product candidates we may develop. For example, we have a collaboration with Ionis Pharmaceuticals, Inc. to further our development of product candidates and to enhance our research efforts directed to developing a product candidate for the treatment of epilepsy. Our likely collaborators for any other collaboration arrangements include large and mid-size pharmaceutical companies, regional and national pharmaceutical companies, biotechnology companies and academic institutions, such as The Florey Institute of Neuroscience.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Collaborations involving our research programs, or any product candidates we may develop, pose the following risks to us:</w:t>
      </w:r>
    </w:p>
    <w:p>
      <w:pPr>
        <w:spacing w:after="0" w:line="112" w:lineRule="exact"/>
        <w:rPr>
          <w:sz w:val="20"/>
          <w:szCs w:val="20"/>
          <w:color w:val="auto"/>
        </w:rPr>
      </w:pPr>
    </w:p>
    <w:p>
      <w:pPr>
        <w:ind w:left="640" w:hanging="314"/>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2" w:lineRule="exact"/>
        <w:rPr>
          <w:rFonts w:ascii="Arial" w:cs="Arial" w:eastAsia="Arial" w:hAnsi="Arial"/>
          <w:sz w:val="18"/>
          <w:szCs w:val="18"/>
          <w:color w:val="auto"/>
        </w:rPr>
      </w:pPr>
    </w:p>
    <w:p>
      <w:pPr>
        <w:ind w:left="640" w:right="180" w:hanging="314"/>
        <w:spacing w:after="0" w:line="256"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right="280" w:hanging="314"/>
        <w:spacing w:after="0" w:line="26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70" w:lineRule="exact"/>
        <w:rPr>
          <w:rFonts w:ascii="Arial" w:cs="Arial" w:eastAsia="Arial" w:hAnsi="Arial"/>
          <w:sz w:val="18"/>
          <w:szCs w:val="18"/>
          <w:color w:val="auto"/>
        </w:rPr>
      </w:pPr>
    </w:p>
    <w:p>
      <w:pPr>
        <w:ind w:left="640" w:right="240" w:hanging="314"/>
        <w:spacing w:after="0" w:line="27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56" w:lineRule="exact"/>
        <w:rPr>
          <w:rFonts w:ascii="Arial" w:cs="Arial" w:eastAsia="Arial" w:hAnsi="Arial"/>
          <w:sz w:val="18"/>
          <w:szCs w:val="18"/>
          <w:color w:val="auto"/>
        </w:rPr>
      </w:pPr>
    </w:p>
    <w:p>
      <w:pPr>
        <w:ind w:left="640" w:right="20" w:hanging="314"/>
        <w:spacing w:after="0" w:line="27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control certain interactions with regulatory authorities, which may impact our ability to obtain and maintain regulatory approval of our products candidates;</w:t>
      </w:r>
    </w:p>
    <w:p>
      <w:pPr>
        <w:spacing w:after="0" w:line="56" w:lineRule="exact"/>
        <w:rPr>
          <w:rFonts w:ascii="Arial" w:cs="Arial" w:eastAsia="Arial" w:hAnsi="Arial"/>
          <w:sz w:val="18"/>
          <w:szCs w:val="18"/>
          <w:color w:val="auto"/>
        </w:rPr>
      </w:pPr>
    </w:p>
    <w:p>
      <w:pPr>
        <w:jc w:val="both"/>
        <w:ind w:left="640" w:right="940" w:hanging="314"/>
        <w:spacing w:after="0" w:line="26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70" w:lineRule="exact"/>
        <w:rPr>
          <w:rFonts w:ascii="Arial" w:cs="Arial" w:eastAsia="Arial" w:hAnsi="Arial"/>
          <w:sz w:val="18"/>
          <w:szCs w:val="18"/>
          <w:color w:val="auto"/>
        </w:rPr>
      </w:pPr>
    </w:p>
    <w:p>
      <w:pPr>
        <w:ind w:left="640" w:right="80" w:hanging="314"/>
        <w:spacing w:after="0" w:line="26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0" w:lineRule="exact"/>
        <w:rPr>
          <w:rFonts w:ascii="Arial" w:cs="Arial" w:eastAsia="Arial" w:hAnsi="Arial"/>
          <w:sz w:val="18"/>
          <w:szCs w:val="18"/>
          <w:color w:val="auto"/>
        </w:rPr>
      </w:pPr>
    </w:p>
    <w:p>
      <w:pPr>
        <w:ind w:left="640" w:right="220" w:hanging="314"/>
        <w:spacing w:after="0" w:line="27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6" w:lineRule="exact"/>
        <w:rPr>
          <w:rFonts w:ascii="Arial" w:cs="Arial" w:eastAsia="Arial" w:hAnsi="Arial"/>
          <w:sz w:val="18"/>
          <w:szCs w:val="18"/>
          <w:color w:val="auto"/>
        </w:rPr>
      </w:pPr>
    </w:p>
    <w:p>
      <w:pPr>
        <w:ind w:left="640" w:right="100" w:hanging="314"/>
        <w:spacing w:after="0" w:line="26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70" w:lineRule="exact"/>
        <w:rPr>
          <w:rFonts w:ascii="Arial" w:cs="Arial" w:eastAsia="Arial" w:hAnsi="Arial"/>
          <w:sz w:val="18"/>
          <w:szCs w:val="18"/>
          <w:color w:val="auto"/>
        </w:rPr>
      </w:pPr>
    </w:p>
    <w:p>
      <w:pPr>
        <w:ind w:left="640" w:right="900" w:hanging="314"/>
        <w:spacing w:after="0" w:line="27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restrict us from researching, developing or commercializing certain products or technologies without their involvement;</w:t>
      </w:r>
    </w:p>
    <w:p>
      <w:pPr>
        <w:spacing w:after="0" w:line="56" w:lineRule="exact"/>
        <w:rPr>
          <w:rFonts w:ascii="Arial" w:cs="Arial" w:eastAsia="Arial" w:hAnsi="Arial"/>
          <w:sz w:val="18"/>
          <w:szCs w:val="18"/>
          <w:color w:val="auto"/>
        </w:rPr>
      </w:pPr>
    </w:p>
    <w:p>
      <w:pPr>
        <w:ind w:left="640" w:right="500" w:hanging="314"/>
        <w:spacing w:after="0" w:line="27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2" w:lineRule="exact"/>
        <w:rPr>
          <w:rFonts w:ascii="Arial" w:cs="Arial" w:eastAsia="Arial" w:hAnsi="Arial"/>
          <w:sz w:val="18"/>
          <w:szCs w:val="18"/>
          <w:color w:val="auto"/>
        </w:rPr>
      </w:pPr>
    </w:p>
    <w:p>
      <w:pPr>
        <w:ind w:left="640" w:right="180" w:hanging="314"/>
        <w:spacing w:after="0" w:line="27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56" w:lineRule="exact"/>
        <w:rPr>
          <w:rFonts w:ascii="Arial" w:cs="Arial" w:eastAsia="Arial" w:hAnsi="Arial"/>
          <w:sz w:val="18"/>
          <w:szCs w:val="18"/>
          <w:color w:val="auto"/>
        </w:rPr>
      </w:pPr>
    </w:p>
    <w:p>
      <w:pPr>
        <w:ind w:left="640" w:right="280" w:hanging="314"/>
        <w:spacing w:after="0" w:line="26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70" w:lineRule="exact"/>
        <w:rPr>
          <w:rFonts w:ascii="Arial" w:cs="Arial" w:eastAsia="Arial" w:hAnsi="Arial"/>
          <w:sz w:val="18"/>
          <w:szCs w:val="18"/>
          <w:color w:val="auto"/>
        </w:rPr>
      </w:pPr>
    </w:p>
    <w:p>
      <w:pPr>
        <w:ind w:left="640" w:hanging="31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2" w:lineRule="exact"/>
        <w:rPr>
          <w:rFonts w:ascii="Arial" w:cs="Arial" w:eastAsia="Arial" w:hAnsi="Arial"/>
          <w:sz w:val="18"/>
          <w:szCs w:val="18"/>
          <w:color w:val="auto"/>
        </w:rPr>
      </w:pPr>
    </w:p>
    <w:p>
      <w:pPr>
        <w:ind w:left="640" w:right="380" w:hanging="314"/>
        <w:spacing w:after="0" w:line="27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56" w:lineRule="exact"/>
        <w:rPr>
          <w:rFonts w:ascii="Arial" w:cs="Arial" w:eastAsia="Arial" w:hAnsi="Arial"/>
          <w:sz w:val="18"/>
          <w:szCs w:val="18"/>
          <w:color w:val="auto"/>
        </w:rPr>
      </w:pPr>
    </w:p>
    <w:p>
      <w:pPr>
        <w:ind w:left="640" w:right="240" w:hanging="314"/>
        <w:spacing w:after="0" w:line="27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our collaborators do not satisfy their obligations under our agreements with them, or if they terminate our collaborations with them, we may not be able to develop or commercialize product candidates as planned;</w:t>
      </w:r>
    </w:p>
    <w:p>
      <w:pPr>
        <w:spacing w:after="0" w:line="56" w:lineRule="exact"/>
        <w:rPr>
          <w:rFonts w:ascii="Arial" w:cs="Arial" w:eastAsia="Arial" w:hAnsi="Arial"/>
          <w:sz w:val="18"/>
          <w:szCs w:val="18"/>
          <w:color w:val="auto"/>
        </w:rPr>
      </w:pPr>
    </w:p>
    <w:p>
      <w:pPr>
        <w:ind w:left="640" w:right="80" w:hanging="314"/>
        <w:spacing w:after="0" w:line="26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70" w:lineRule="exact"/>
        <w:rPr>
          <w:rFonts w:ascii="Arial" w:cs="Arial" w:eastAsia="Arial" w:hAnsi="Arial"/>
          <w:sz w:val="18"/>
          <w:szCs w:val="18"/>
          <w:color w:val="auto"/>
        </w:rPr>
      </w:pPr>
    </w:p>
    <w:p>
      <w:pPr>
        <w:ind w:left="640" w:right="140" w:hanging="314"/>
        <w:spacing w:after="0" w:line="26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70"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83" w:lineRule="exact"/>
        <w:rPr>
          <w:sz w:val="20"/>
          <w:szCs w:val="20"/>
          <w:color w:val="auto"/>
        </w:rPr>
      </w:pPr>
    </w:p>
    <w:p>
      <w:pPr>
        <w:ind w:right="60" w:firstLine="439"/>
        <w:spacing w:after="0" w:line="266"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66" w:lineRule="exact"/>
        <w:rPr>
          <w:sz w:val="20"/>
          <w:szCs w:val="20"/>
          <w:color w:val="auto"/>
        </w:rPr>
      </w:pPr>
    </w:p>
    <w:p>
      <w:pPr>
        <w:ind w:right="620"/>
        <w:spacing w:after="0" w:line="288"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36"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Business and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Business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2" w:lineRule="exact"/>
        <w:rPr>
          <w:sz w:val="20"/>
          <w:szCs w:val="20"/>
          <w:color w:val="auto"/>
        </w:rPr>
      </w:pPr>
    </w:p>
    <w:p>
      <w:pPr>
        <w:ind w:right="20" w:firstLine="439"/>
        <w:spacing w:after="0" w:line="276"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56" w:lineRule="exact"/>
        <w:rPr>
          <w:sz w:val="20"/>
          <w:szCs w:val="20"/>
          <w:color w:val="auto"/>
        </w:rPr>
      </w:pPr>
    </w:p>
    <w:p>
      <w:pPr>
        <w:ind w:left="640" w:hanging="31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and changing regulatory requirements in non-U.S. countries;</w:t>
      </w:r>
    </w:p>
    <w:p>
      <w:pPr>
        <w:spacing w:after="0" w:line="112" w:lineRule="exact"/>
        <w:rPr>
          <w:rFonts w:ascii="Arial" w:cs="Arial" w:eastAsia="Arial" w:hAnsi="Arial"/>
          <w:sz w:val="18"/>
          <w:szCs w:val="18"/>
          <w:color w:val="auto"/>
        </w:rPr>
      </w:pPr>
    </w:p>
    <w:p>
      <w:pPr>
        <w:ind w:left="640" w:right="120" w:hanging="314"/>
        <w:spacing w:after="0" w:line="252"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 including our ability to prosecute or maintain patents in Russia due to the sanctions imposed by the United States and other countries on Russia as a result of Russia’s invasion of Ukraine and our ability to enforce patents due to Russia's March 2022 decree that allows the use of inventions, utility models and industrial designs that are held by intellectual property owners from "unfriendly countries," including the United States, without the consent of or payment of any compensation to such owners;</w:t>
      </w:r>
    </w:p>
    <w:p>
      <w:pPr>
        <w:spacing w:after="0" w:line="80" w:lineRule="exact"/>
        <w:rPr>
          <w:rFonts w:ascii="Arial" w:cs="Arial" w:eastAsia="Arial" w:hAnsi="Arial"/>
          <w:sz w:val="18"/>
          <w:szCs w:val="18"/>
          <w:color w:val="auto"/>
        </w:rPr>
      </w:pPr>
    </w:p>
    <w:p>
      <w:pPr>
        <w:ind w:left="640" w:hanging="31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31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2" w:lineRule="exact"/>
        <w:rPr>
          <w:rFonts w:ascii="Arial" w:cs="Arial" w:eastAsia="Arial" w:hAnsi="Arial"/>
          <w:sz w:val="18"/>
          <w:szCs w:val="18"/>
          <w:color w:val="auto"/>
        </w:rPr>
      </w:pPr>
    </w:p>
    <w:p>
      <w:pPr>
        <w:ind w:left="640" w:right="360" w:hanging="314"/>
        <w:spacing w:after="0" w:line="276"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U.K. Bribery Act of 2010 or comparable foreign laws, including expanded sanctions imposed by the United States and other countries on Russia due to Russia's invasion of Ukraine;</w:t>
      </w:r>
    </w:p>
    <w:p>
      <w:pPr>
        <w:spacing w:after="0" w:line="56" w:lineRule="exact"/>
        <w:rPr>
          <w:rFonts w:ascii="Arial" w:cs="Arial" w:eastAsia="Arial" w:hAnsi="Arial"/>
          <w:sz w:val="18"/>
          <w:szCs w:val="18"/>
          <w:color w:val="auto"/>
        </w:rPr>
      </w:pPr>
    </w:p>
    <w:p>
      <w:pPr>
        <w:ind w:left="640" w:right="280" w:hanging="314"/>
        <w:spacing w:after="0" w:line="276"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Russia's invasion of Ukraine, natural disasters including earthquakes, typhoons, floods and fires, or health epidemics; and</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cyberattacks, which are growing in frequency, sophistication and intensity, and are becoming increasingly difficult to detect.</w:t>
      </w:r>
    </w:p>
    <w:p>
      <w:pPr>
        <w:spacing w:after="0" w:line="112" w:lineRule="exact"/>
        <w:rPr>
          <w:sz w:val="20"/>
          <w:szCs w:val="20"/>
          <w:color w:val="auto"/>
        </w:rPr>
      </w:pPr>
    </w:p>
    <w:p>
      <w:pPr>
        <w:ind w:right="200" w:firstLine="439"/>
        <w:spacing w:after="0" w:line="276"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profitable operations.</w:t>
      </w:r>
    </w:p>
    <w:p>
      <w:pPr>
        <w:spacing w:after="0" w:line="56" w:lineRule="exact"/>
        <w:rPr>
          <w:sz w:val="20"/>
          <w:szCs w:val="20"/>
          <w:color w:val="auto"/>
        </w:rPr>
      </w:pPr>
    </w:p>
    <w:p>
      <w:pPr>
        <w:ind w:right="280"/>
        <w:spacing w:after="0" w:line="319"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health epidemics or other business interruptions and our business continuity and disaster recovery plans may not adequately protect us from a serious disaster.</w:t>
      </w:r>
    </w:p>
    <w:p>
      <w:pPr>
        <w:spacing w:after="0" w:line="13"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Natural disasters or health epidemics could severely disrupt our operations, and have a material adverse impact on our business, results of operations, financial condition, and prospects. If a natural disaster, power outage, health epidemic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 The extent to which these events will impact our business will depend on future developments, which are highly uncertain and cannot be predicted, including with regard to their impact on economic conditions and social activity, including with respect to inflationary pressures and supply chain shortages and disruptions, among others.</w:t>
      </w:r>
    </w:p>
    <w:p>
      <w:pPr>
        <w:spacing w:after="0" w:line="82" w:lineRule="exact"/>
        <w:rPr>
          <w:sz w:val="20"/>
          <w:szCs w:val="20"/>
          <w:color w:val="auto"/>
        </w:rPr>
      </w:pPr>
    </w:p>
    <w:p>
      <w:pPr>
        <w:ind w:right="220" w:firstLine="439"/>
        <w:spacing w:after="0" w:line="254" w:lineRule="auto"/>
        <w:rPr>
          <w:sz w:val="20"/>
          <w:szCs w:val="20"/>
          <w:color w:val="auto"/>
        </w:rPr>
      </w:pPr>
      <w:r>
        <w:rPr>
          <w:rFonts w:ascii="Arial" w:cs="Arial" w:eastAsia="Arial" w:hAnsi="Arial"/>
          <w:sz w:val="18"/>
          <w:szCs w:val="18"/>
          <w:color w:val="auto"/>
        </w:rPr>
        <w:t>Climate change and other environmental or social pressures are expected to increase the frequency or intensity of certain such events, and to contribute to chronic effects (e.g., sea-level rise or changes in meteorological or hydrological patterns), which may result in various adverse impacts to our business or those of third parties upon whom we depend, including in ways that may not be known to us. Increasing stakeholder scrutiny on such environmental and social matters may also require us to incur costs or otherwise devote resources to address such issues, and any failure to successfully navigate such considerations may also adversely impact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Employees</w:t>
      </w:r>
    </w:p>
    <w:p>
      <w:pPr>
        <w:spacing w:after="0" w:line="112" w:lineRule="exact"/>
        <w:rPr>
          <w:sz w:val="20"/>
          <w:szCs w:val="20"/>
          <w:color w:val="auto"/>
        </w:rPr>
      </w:pPr>
    </w:p>
    <w:p>
      <w:pPr>
        <w:ind w:right="220"/>
        <w:spacing w:after="0" w:line="288" w:lineRule="auto"/>
        <w:rPr>
          <w:sz w:val="20"/>
          <w:szCs w:val="20"/>
          <w:color w:val="auto"/>
        </w:rPr>
      </w:pPr>
      <w:r>
        <w:rPr>
          <w:rFonts w:ascii="Arial" w:cs="Arial" w:eastAsia="Arial" w:hAnsi="Arial"/>
          <w:sz w:val="18"/>
          <w:szCs w:val="18"/>
          <w:b w:val="1"/>
          <w:bCs w:val="1"/>
          <w:i w:val="1"/>
          <w:iCs w:val="1"/>
          <w:color w:val="auto"/>
        </w:rPr>
        <w:t>We depend heavily on our executive officers, principal consultants and others, and the loss of their services could materially harm our business.</w:t>
      </w:r>
    </w:p>
    <w:p>
      <w:pPr>
        <w:spacing w:after="0" w:line="36" w:lineRule="exact"/>
        <w:rPr>
          <w:sz w:val="20"/>
          <w:szCs w:val="20"/>
          <w:color w:val="auto"/>
        </w:rPr>
      </w:pPr>
    </w:p>
    <w:p>
      <w:pPr>
        <w:ind w:right="120" w:firstLine="439"/>
        <w:spacing w:after="0" w:line="272" w:lineRule="auto"/>
        <w:rPr>
          <w:sz w:val="20"/>
          <w:szCs w:val="20"/>
          <w:color w:val="auto"/>
        </w:rPr>
      </w:pPr>
      <w:r>
        <w:rPr>
          <w:rFonts w:ascii="Arial" w:cs="Arial" w:eastAsia="Arial" w:hAnsi="Arial"/>
          <w:sz w:val="17"/>
          <w:szCs w:val="17"/>
          <w:color w:val="auto"/>
        </w:rPr>
        <w:t>Our success depends, and will likely continue to depend, upon our ability to retain the services of our current executive officers, principal consultants and others, including Marcio Souza, our President and Chief Executive Officer, Timothy Kelly, our Chief Financial Officer and Megan Sniecinski, our Chief Operating Officer. We have entered into employment agreements with Mr. Souza, Mr. Kelly and Ms. Sniecinski, but they may terminate their employment with us at any time. The loss of their services might impede the achievement of our research, development and commercialization objectives. We do not maintain “key person” insurance for any of our executives or other employees.</w:t>
      </w:r>
    </w:p>
    <w:p>
      <w:pPr>
        <w:spacing w:after="0" w:line="64"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Our ability to compete in the biotechnology and pharmaceuticals industries depends upon our ability to attract and retain highly qualified managerial, scientific and medical personnel. Our industry has experienced significant demand for, and a high rate of turnover of, management personnel in recent years. Replacing executive officers or other key employees may be difficult and may take an extended period of time because of the limited number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individuals in our industry with the breadth of skills and experience required to develop, gain regulatory approval of and commercialize products successfully.</w:t>
      </w:r>
    </w:p>
    <w:p>
      <w:pPr>
        <w:spacing w:after="0" w:line="56" w:lineRule="exact"/>
        <w:rPr>
          <w:sz w:val="20"/>
          <w:szCs w:val="20"/>
          <w:color w:val="auto"/>
        </w:rPr>
      </w:pPr>
    </w:p>
    <w:p>
      <w:pPr>
        <w:ind w:right="220" w:firstLine="439"/>
        <w:spacing w:after="0" w:line="261" w:lineRule="auto"/>
        <w:rPr>
          <w:sz w:val="20"/>
          <w:szCs w:val="20"/>
          <w:color w:val="auto"/>
        </w:rPr>
      </w:pPr>
      <w:r>
        <w:rPr>
          <w:rFonts w:ascii="Arial" w:cs="Arial" w:eastAsia="Arial" w:hAnsi="Arial"/>
          <w:sz w:val="18"/>
          <w:szCs w:val="18"/>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70" w:lineRule="exact"/>
        <w:rPr>
          <w:sz w:val="20"/>
          <w:szCs w:val="20"/>
          <w:color w:val="auto"/>
        </w:rPr>
      </w:pPr>
    </w:p>
    <w:p>
      <w:pPr>
        <w:ind w:right="360" w:firstLine="439"/>
        <w:spacing w:after="0" w:line="261" w:lineRule="auto"/>
        <w:rPr>
          <w:sz w:val="20"/>
          <w:szCs w:val="20"/>
          <w:color w:val="auto"/>
        </w:rPr>
      </w:pPr>
      <w:r>
        <w:rPr>
          <w:rFonts w:ascii="Arial" w:cs="Arial" w:eastAsia="Arial" w:hAnsi="Arial"/>
          <w:sz w:val="18"/>
          <w:szCs w:val="18"/>
          <w:color w:val="auto"/>
        </w:rPr>
        <w:t>In addition, we have a limited number of employees to manage and operate our business. We cannot ensure that we will be able to maintain adequate staff to develop our product candidates, to run our operations or accomplish our objectives. If we are unable to maintain adequate staffing levels, our business and operations could be materially adversely affected.</w:t>
      </w:r>
    </w:p>
    <w:p>
      <w:pPr>
        <w:spacing w:after="0" w:line="70"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7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55" w:lineRule="exact"/>
        <w:rPr>
          <w:sz w:val="20"/>
          <w:szCs w:val="20"/>
          <w:color w:val="auto"/>
        </w:rPr>
      </w:pPr>
    </w:p>
    <w:p>
      <w:pPr>
        <w:ind w:right="140" w:firstLine="439"/>
        <w:spacing w:after="0" w:line="261" w:lineRule="auto"/>
        <w:rPr>
          <w:sz w:val="20"/>
          <w:szCs w:val="20"/>
          <w:color w:val="auto"/>
        </w:rPr>
      </w:pPr>
      <w:r>
        <w:rPr>
          <w:rFonts w:ascii="Arial" w:cs="Arial" w:eastAsia="Arial" w:hAnsi="Arial"/>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w:t>
      </w:r>
    </w:p>
    <w:p>
      <w:pPr>
        <w:spacing w:after="0" w:line="70" w:lineRule="exact"/>
        <w:rPr>
          <w:sz w:val="20"/>
          <w:szCs w:val="20"/>
          <w:color w:val="auto"/>
        </w:rPr>
      </w:pPr>
    </w:p>
    <w:p>
      <w:pPr>
        <w:ind w:left="640" w:hanging="31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including those laws requiring the reporting of true, complete and accurate information to such authorities;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112" w:lineRule="exact"/>
        <w:rPr>
          <w:rFonts w:ascii="Arial" w:cs="Arial" w:eastAsia="Arial" w:hAnsi="Arial"/>
          <w:sz w:val="18"/>
          <w:szCs w:val="18"/>
          <w:color w:val="auto"/>
        </w:rPr>
      </w:pPr>
    </w:p>
    <w:p>
      <w:pPr>
        <w:ind w:left="640" w:right="560" w:hanging="314"/>
        <w:spacing w:after="0" w:line="276"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similar laws and regulations established and enforced by comparable non-U.S. regulatory authorities; and</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laws that require the accurate reporting of financial information or data.</w:t>
      </w:r>
    </w:p>
    <w:p>
      <w:pPr>
        <w:spacing w:after="0" w:line="112" w:lineRule="exact"/>
        <w:rPr>
          <w:sz w:val="20"/>
          <w:szCs w:val="20"/>
          <w:color w:val="auto"/>
        </w:rPr>
      </w:pPr>
    </w:p>
    <w:p>
      <w:pPr>
        <w:ind w:firstLine="439"/>
        <w:spacing w:after="0" w:line="266" w:lineRule="auto"/>
        <w:rPr>
          <w:sz w:val="20"/>
          <w:szCs w:val="20"/>
          <w:color w:val="auto"/>
        </w:rPr>
      </w:pPr>
      <w:r>
        <w:rPr>
          <w:rFonts w:ascii="Arial" w:cs="Arial" w:eastAsia="Arial" w:hAnsi="Arial"/>
          <w:sz w:val="17"/>
          <w:szCs w:val="17"/>
          <w:color w:val="auto"/>
        </w:rPr>
        <w:t>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66" w:lineRule="exact"/>
        <w:rPr>
          <w:sz w:val="20"/>
          <w:szCs w:val="20"/>
          <w:color w:val="auto"/>
        </w:rPr>
      </w:pPr>
    </w:p>
    <w:p>
      <w:pPr>
        <w:ind w:right="260"/>
        <w:spacing w:after="0" w:line="288" w:lineRule="auto"/>
        <w:rPr>
          <w:sz w:val="20"/>
          <w:szCs w:val="20"/>
          <w:color w:val="auto"/>
        </w:rPr>
      </w:pPr>
      <w:r>
        <w:rPr>
          <w:rFonts w:ascii="Arial" w:cs="Arial" w:eastAsia="Arial" w:hAnsi="Arial"/>
          <w:sz w:val="18"/>
          <w:szCs w:val="18"/>
          <w:b w:val="1"/>
          <w:bCs w:val="1"/>
          <w:i w:val="1"/>
          <w:iCs w:val="1"/>
          <w:color w:val="auto"/>
        </w:rPr>
        <w:t>We expect to expand our organization, and as a result, we may encounter difficulties in managing our growth, which could disrupt our operations.</w:t>
      </w:r>
    </w:p>
    <w:p>
      <w:pPr>
        <w:spacing w:after="0" w:line="36" w:lineRule="exact"/>
        <w:rPr>
          <w:sz w:val="20"/>
          <w:szCs w:val="20"/>
          <w:color w:val="auto"/>
        </w:rPr>
      </w:pPr>
    </w:p>
    <w:p>
      <w:pPr>
        <w:ind w:right="200" w:firstLine="439"/>
        <w:spacing w:after="0" w:line="251"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marketing and distribution as we prepare for potential commercialization. To manage these growth activities, we must continue to implement and improve our managerial, operational, quality and financial systems, and continue to recruit and train additional qualified personnel. Our management may need to devote a significant amount of its attention to managing these growth activities.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expected growth, our expenses may increase more than expected, our ability to generate revenues could be reduced and we may not be able to implement our business strategy, including the successful commercialization of our product candidates.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Data Privacy and Cybersecurity</w:t>
      </w:r>
    </w:p>
    <w:p>
      <w:pPr>
        <w:spacing w:after="0" w:line="11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55"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We, our collaborators, our CROs, third-party logistics providers, distributors and other contractors and consultants utilize information technology, or IT, systems and networks to process, transmit and store electronic information in connection with our business activities. As we transition to commercialization and expand systems and integrations supporting commercial activities, including systems supporting product distribution, commercial operations and financial transaction workflows, our exposure to cybersecurity risks will increase, although we have not identified cybersecurity incidents to date that have materially affected or are reasonably likely to materially affect us. Adverse cybersecurity events affecting these systems or the third parties that support them could disrupt commercialization efforts, product distribution or business operations, result in regulatory or contractual liability, or cause reputational harm.</w:t>
      </w:r>
    </w:p>
    <w:p>
      <w:pPr>
        <w:spacing w:after="0" w:line="82" w:lineRule="exact"/>
        <w:rPr>
          <w:sz w:val="20"/>
          <w:szCs w:val="20"/>
          <w:color w:val="auto"/>
        </w:rPr>
      </w:pPr>
    </w:p>
    <w:p>
      <w:pPr>
        <w:ind w:right="60" w:firstLine="439"/>
        <w:spacing w:after="0" w:line="266" w:lineRule="auto"/>
        <w:rPr>
          <w:sz w:val="20"/>
          <w:szCs w:val="20"/>
          <w:color w:val="auto"/>
        </w:rPr>
      </w:pPr>
      <w:r>
        <w:rPr>
          <w:rFonts w:ascii="Arial" w:cs="Arial" w:eastAsia="Arial" w:hAnsi="Arial"/>
          <w:sz w:val="17"/>
          <w:szCs w:val="17"/>
          <w:color w:val="auto"/>
        </w:rPr>
        <w:t>Our IT systems and those of such third parties are vulnerable to attack, damage and interruption from natural disasters, terrorism, war, telecommunication and electrical failures, hacking, cyber incidents, phishing and other social engineering schemes, employee error or misuse, fraud, denial or degradation of service attacks, and sophisticated nation-state and nation-state-supported actors or other deliberate attacks. Attacks upon IT systems are also increasing in their levels of persistence and intensity, and are being conducted by sophisticated and organized groups and individuals with a wide range of motives and expertise. We may also face increased cybersecurity risks due to our reliance on internet technology and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w:t>
      </w:r>
    </w:p>
    <w:p>
      <w:pPr>
        <w:spacing w:after="0" w:line="66" w:lineRule="exact"/>
        <w:rPr>
          <w:sz w:val="20"/>
          <w:szCs w:val="20"/>
          <w:color w:val="auto"/>
        </w:rPr>
      </w:pPr>
    </w:p>
    <w:p>
      <w:pPr>
        <w:ind w:firstLine="439"/>
        <w:spacing w:after="0" w:line="248"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While we do not believe that we have experienced any such system failure, accident or security breach to date, if such an event were to occur and cause interruptions in our operations, it could result in a material disruption of our business operations and drug development programs. These threats pose a risk to the security of our, our collaborators’, our CROs’, third-party logistics providers’, distributors’ and other contractors’ and consultants’ systems and networks, and the confidentiality, availability and integrity of our data. There can be no assurance that our cybersecurity risk management program and processes, including our policies, controls or procedures, will be fully implemented, complied with or successful in preventing cyberattacks or other IT disruptions, or in mitigating their effects. Similarly, there can be no assurance that our collaborators, CROs, third-party logistics providers, distributors and other contractors and consultants will be successful in protecting our clinical and other data that is stored on their systems. Any integration of artificial intelligence in our or any third party’s operations, products or services is expected to pose new or unknown cybersecurity risks and challenges. Further, the costs associated with the investigation, remediation and potential notification of a breach to counterparties and data subjects could be material. Any cyberattack, data breach or destruction or loss of data could result in a violation of applicable U.S. and international privacy, data protection and other laws, and subject us to litigation (including class actions)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 Our insurance coverage may not be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sufficient to cover the financial, legal, business or reputational losses that may result from an interruption or breach of our systems.</w:t>
      </w:r>
    </w:p>
    <w:p>
      <w:pPr>
        <w:spacing w:after="0" w:line="11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We rely on cloud-based software services and access these services via the Internet for the vast majority of our computing, storage, and other functions. Any disruption of or interference with our use of our cloud-based services would negatively affect our operations and could seriously harm our business.</w:t>
      </w:r>
    </w:p>
    <w:p>
      <w:pPr>
        <w:spacing w:after="0" w:line="55" w:lineRule="exact"/>
        <w:rPr>
          <w:sz w:val="20"/>
          <w:szCs w:val="20"/>
          <w:color w:val="auto"/>
        </w:rPr>
      </w:pPr>
    </w:p>
    <w:p>
      <w:pPr>
        <w:ind w:right="60" w:firstLine="439"/>
        <w:spacing w:after="0" w:line="250" w:lineRule="auto"/>
        <w:rPr>
          <w:sz w:val="20"/>
          <w:szCs w:val="20"/>
          <w:color w:val="auto"/>
        </w:rPr>
      </w:pPr>
      <w:r>
        <w:rPr>
          <w:rFonts w:ascii="Arial" w:cs="Arial" w:eastAsia="Arial" w:hAnsi="Arial"/>
          <w:sz w:val="18"/>
          <w:szCs w:val="18"/>
          <w:color w:val="auto"/>
        </w:rPr>
        <w:t>We use several distributed computing infrastructure platforms for business operations, or what is commonly referred to as “cloud” computing services and we access these services via the Internet. Any transition of the cloud services currently provided by an existing vendor to another vendor would be difficult to implement and will cause us to incur significant time and expense. Given this, any significant disruption of or interference with our use of these cloud computing services would negatively impact our operations and our business would be seriously harmed. If our employees or partners are not able to access our cloud computing services or encounter difficulties in doing so, we may experience business disruption. The level of service provided by our cloud computing vendors, including the ability to secure our confidential information and the confidential information of third parties that is shared with us, may also impact the perception of our company and could seriously harm our business and reputation and create liability for us. If a cloud computing service that we use experiences interruptions in service regularly or for a prolonged basis, or other similar issues, our business could be seriously harmed.</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a cloud computing service may take actions beyond our control that could seriously harm our business, including:</w:t>
      </w:r>
    </w:p>
    <w:p>
      <w:pPr>
        <w:spacing w:after="0" w:line="112" w:lineRule="exact"/>
        <w:rPr>
          <w:sz w:val="20"/>
          <w:szCs w:val="20"/>
          <w:color w:val="auto"/>
        </w:rPr>
      </w:pPr>
    </w:p>
    <w:p>
      <w:pPr>
        <w:ind w:left="640" w:hanging="314"/>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discontinuing or limiting our access to its platform;</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pricing terms;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terminating or seeking to terminate our contractual relationship altogether; or</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modifying or interpreting its terms of service or other policies in a manner that impacts our ability to run our business and operations.</w:t>
      </w:r>
    </w:p>
    <w:p>
      <w:pPr>
        <w:spacing w:after="0" w:line="112" w:lineRule="exact"/>
        <w:rPr>
          <w:sz w:val="20"/>
          <w:szCs w:val="20"/>
          <w:color w:val="auto"/>
        </w:rPr>
      </w:pPr>
    </w:p>
    <w:p>
      <w:pPr>
        <w:ind w:right="40" w:firstLine="439"/>
        <w:spacing w:after="0" w:line="261" w:lineRule="auto"/>
        <w:rPr>
          <w:sz w:val="20"/>
          <w:szCs w:val="20"/>
          <w:color w:val="auto"/>
        </w:rPr>
      </w:pPr>
      <w:r>
        <w:rPr>
          <w:rFonts w:ascii="Arial" w:cs="Arial" w:eastAsia="Arial" w:hAnsi="Arial"/>
          <w:sz w:val="18"/>
          <w:szCs w:val="18"/>
          <w:color w:val="auto"/>
        </w:rPr>
        <w:t>Our cloud computing services have broad discretion to change and interpret its terms of service and other policies with respect to us, and those actions may be unfavorable to us. Our cloud computing services may also alter how we are able to process data on the platform. If a cloud computing services makes changes or interpretations that are unfavorable to us, our business could be seriously harmed.</w:t>
      </w:r>
    </w:p>
    <w:p>
      <w:pPr>
        <w:spacing w:after="0" w:line="70"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Our efforts to protect the information shared with us may be unsuccessful due to the actions of third parties, software bugs or other technical malfunctions, employee error or malfeasance or other factors. In addition, third parties may attempt to fraudulently induce employees or users to disclose information to gain access to our data or third-party data entrusted to us. If any of these events occur, our or third-party information could be accessed or disclosed improperly. Some partners or collaborators may store information that we share with them on their own computing system. If these third parties fail to implement adequate data-security practices or fail to comply with our policies, our data may be improperly accessed or disclosed. And even if these third parties take all of these steps, their networks may still suffer a breach, which could compromise our data.</w:t>
      </w:r>
    </w:p>
    <w:p>
      <w:pPr>
        <w:spacing w:after="0" w:line="82"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Any incidents where our information is accessed without authorization, or is improperly used, or incidents that violate our policies, could damage our reputation and our brand and diminish our competitive position. In addition, affected parties or government authorities could initiate legal or regulatory action against us over those incidents, which could cause us to incur significant expense and liability or result in orders or consent decrees forcing us to modify our business practices. Concerns over our privacy practices, whether actual or unfounded, could damage our reputation and brand and deter users, advertisers and partners from using our products and services. Any of these occurrences could seriously harm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 Laws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or other changes in tax laws could adversely affect our business and financial condition.</w:t>
      </w:r>
    </w:p>
    <w:p>
      <w:pPr>
        <w:spacing w:after="0" w:line="112" w:lineRule="exact"/>
        <w:rPr>
          <w:sz w:val="20"/>
          <w:szCs w:val="20"/>
          <w:color w:val="auto"/>
        </w:rPr>
      </w:pPr>
    </w:p>
    <w:p>
      <w:pPr>
        <w:ind w:right="120" w:firstLine="439"/>
        <w:spacing w:after="0" w:line="254" w:lineRule="auto"/>
        <w:rPr>
          <w:sz w:val="20"/>
          <w:szCs w:val="20"/>
          <w:color w:val="auto"/>
        </w:rPr>
      </w:pPr>
      <w:r>
        <w:rPr>
          <w:rFonts w:ascii="Arial" w:cs="Arial" w:eastAsia="Arial" w:hAnsi="Arial"/>
          <w:sz w:val="18"/>
          <w:szCs w:val="18"/>
          <w:color w:val="auto"/>
        </w:rPr>
        <w:t>The legislation, regulations and rules regarding U.S. federal, state and local and non-U.S. taxation are constantly under review by persons involved in the legislative process and by the Internal Revenue Service and the U.S. Treasury Department and by state and local and non-U.S. tax agencies. Changes to tax laws (which changes may have retroactive application) could adversely affect us or holders of our common stock. Significant changes have been made to U.S. federal income tax laws in recent years, and further changes to applicable tax laws may occur in the future.</w:t>
      </w:r>
    </w:p>
    <w:p>
      <w:pPr>
        <w:spacing w:after="0" w:line="76" w:lineRule="exact"/>
        <w:rPr>
          <w:sz w:val="20"/>
          <w:szCs w:val="20"/>
          <w:color w:val="auto"/>
        </w:rPr>
      </w:pPr>
    </w:p>
    <w:p>
      <w:pPr>
        <w:ind w:right="200" w:firstLine="439"/>
        <w:spacing w:after="0" w:line="276" w:lineRule="auto"/>
        <w:rPr>
          <w:sz w:val="20"/>
          <w:szCs w:val="20"/>
          <w:color w:val="auto"/>
        </w:rPr>
      </w:pPr>
      <w:r>
        <w:rPr>
          <w:rFonts w:ascii="Arial" w:cs="Arial" w:eastAsia="Arial" w:hAnsi="Arial"/>
          <w:sz w:val="18"/>
          <w:szCs w:val="18"/>
          <w:color w:val="auto"/>
        </w:rPr>
        <w:t>It cannot be predicted whether, when, in what form or with what effective dates changes in tax laws, regulations or rules promulgated or issued under existing or new tax laws may take place. Any such changes could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result in an increase in our or our shareholders’ tax liability or require changes in the manner in which we operate in order to minimize or mitigate any adverse effects of changes in tax law or in the interpretation thereof. If any such changes are enacted or implemented, we are currently unable to predict the ultimate impact on our business or holders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U.S. federal and state net operating loss carryforwards and certain other tax attributes may be limited.</w:t>
      </w:r>
    </w:p>
    <w:p>
      <w:pPr>
        <w:spacing w:after="0" w:line="112" w:lineRule="exact"/>
        <w:rPr>
          <w:sz w:val="20"/>
          <w:szCs w:val="20"/>
          <w:color w:val="auto"/>
        </w:rPr>
      </w:pPr>
    </w:p>
    <w:p>
      <w:pPr>
        <w:ind w:right="200" w:firstLine="439"/>
        <w:spacing w:after="0" w:line="261" w:lineRule="auto"/>
        <w:rPr>
          <w:sz w:val="20"/>
          <w:szCs w:val="20"/>
          <w:color w:val="auto"/>
        </w:rPr>
      </w:pPr>
      <w:r>
        <w:rPr>
          <w:rFonts w:ascii="Arial" w:cs="Arial" w:eastAsia="Arial" w:hAnsi="Arial"/>
          <w:sz w:val="18"/>
          <w:szCs w:val="18"/>
          <w:color w:val="auto"/>
        </w:rPr>
        <w:t>Our ability to use our U.S. federal and state net operating losses and tax credits is dependent upon our generation of future taxable income and income tax liabilities. We cannot predict with certainty when, or whether, we will generate sufficient taxable income or income tax liabilities to use any or all of our net operating losses or tax credits.</w:t>
      </w:r>
    </w:p>
    <w:p>
      <w:pPr>
        <w:spacing w:after="0" w:line="70"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Our U.S. federal net operating losses generated in tax years beginning before January 1, 2018, and state net operating losses subject to expiration, will carry forward to offset future taxable income, if any, until such net operating losses expire. Such U.S. federal and state net operating losses could expire unused and be unavailable to offset future taxable income. Our U.S. federal net operating losses generated in tax years beginning after December 31, 2017 are not subject to expiration and may be carried forward indefinitely. However, such U.S. federal net operating losses may only be used to offset 80% of taxable income in each taxable year for U.S. federal income tax purposes. As a result, we may be required to pay U.S. federal income taxes in future years even if we generated net losses for U.S. federal income tax purposes in prior years. Although our U.S. federal and state tax credits generally will carry forward and be available to offset future income tax liabilities, certain of such tax credits may be subject to expiration. Accordingly, our U.S. federal and state net operating losses and tax credits subject to expiration could expire unused.</w:t>
      </w:r>
    </w:p>
    <w:p>
      <w:pPr>
        <w:spacing w:after="0" w:line="83" w:lineRule="exact"/>
        <w:rPr>
          <w:sz w:val="20"/>
          <w:szCs w:val="20"/>
          <w:color w:val="auto"/>
        </w:rPr>
      </w:pPr>
    </w:p>
    <w:p>
      <w:pPr>
        <w:ind w:right="40" w:firstLine="439"/>
        <w:spacing w:after="0" w:line="250" w:lineRule="auto"/>
        <w:rPr>
          <w:sz w:val="20"/>
          <w:szCs w:val="20"/>
          <w:color w:val="auto"/>
        </w:rPr>
      </w:pPr>
      <w:r>
        <w:rPr>
          <w:rFonts w:ascii="Arial" w:cs="Arial" w:eastAsia="Arial" w:hAnsi="Arial"/>
          <w:sz w:val="18"/>
          <w:szCs w:val="18"/>
          <w:color w:val="auto"/>
        </w:rPr>
        <w:t>In addition, both our current and future U.S. federal net operating losses and U.S. federal tax credits may be subject to limitation under Sections 382 and 383 of the United States Internal Revenue Code of 1986, as amended, or the Code. Under Sections 382 and 383 of the Code, if a corporation undergoes an “ownership change,” generally defined as a greater than 50 percentage point change (by value) in its equity ownership by certain stockholders or groups of stockholders over a rolling three-year period, the corporation’s ability to use its pre-change U.S. federal net operating losses and U.S. federal tax credits to offset its post-change U.S. federal taxable income or U.S. federal income tax liabilities may be limited. We have not completed a study to assess whether any such ownership change has occurred, or whether multiple ownership changes, and our existing U.S. federal net operating losses and U.S. federal tax credits may be subject to limitations arising from one or more previous ownership changes. In addition, future changes in our stock ownership, many of which are outside of our control, could result in an ownership change. Our net operating losses and tax credits may be similarly limited under state law.</w:t>
      </w:r>
    </w:p>
    <w:p>
      <w:pPr>
        <w:spacing w:after="0" w:line="83" w:lineRule="exact"/>
        <w:rPr>
          <w:sz w:val="20"/>
          <w:szCs w:val="20"/>
          <w:color w:val="auto"/>
        </w:rPr>
      </w:pPr>
    </w:p>
    <w:p>
      <w:pPr>
        <w:ind w:right="140" w:firstLine="439"/>
        <w:spacing w:after="0" w:line="276" w:lineRule="auto"/>
        <w:rPr>
          <w:sz w:val="20"/>
          <w:szCs w:val="20"/>
          <w:color w:val="auto"/>
        </w:rPr>
      </w:pPr>
      <w:r>
        <w:rPr>
          <w:rFonts w:ascii="Arial" w:cs="Arial" w:eastAsia="Arial" w:hAnsi="Arial"/>
          <w:sz w:val="18"/>
          <w:szCs w:val="18"/>
          <w:color w:val="auto"/>
        </w:rPr>
        <w:t>We have established a full valuation allowance against our U.S. federal and state deferred tax assets due to the uncertainty surrounding the realization of such assets.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Investment in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has been and may in the future be volatile, and you could lose all or part of your investment.</w:t>
      </w:r>
    </w:p>
    <w:p>
      <w:pPr>
        <w:spacing w:after="0" w:line="112" w:lineRule="exact"/>
        <w:rPr>
          <w:sz w:val="20"/>
          <w:szCs w:val="20"/>
          <w:color w:val="auto"/>
        </w:rPr>
      </w:pPr>
    </w:p>
    <w:p>
      <w:pPr>
        <w:jc w:val="both"/>
        <w:ind w:right="60" w:firstLine="439"/>
        <w:spacing w:after="0" w:line="261"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has been subject to wide fluctuations in response to various factors, some of which are beyond our control, including limited trading volume. In addition to the factors discussed in this “Risk Factors” section, factors that may affect the trading price of our common stock include:</w:t>
      </w:r>
    </w:p>
    <w:p>
      <w:pPr>
        <w:spacing w:after="0" w:line="70" w:lineRule="exact"/>
        <w:rPr>
          <w:sz w:val="20"/>
          <w:szCs w:val="20"/>
          <w:color w:val="auto"/>
        </w:rPr>
      </w:pPr>
    </w:p>
    <w:p>
      <w:pPr>
        <w:ind w:left="640" w:hanging="314"/>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commencement, enrollment, completion or results of our current clinical trials of our product candidates;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identifying and advancing a clinical candidate for our other programs;</w:t>
      </w:r>
    </w:p>
    <w:p>
      <w:pPr>
        <w:spacing w:after="0" w:line="112" w:lineRule="exact"/>
        <w:rPr>
          <w:rFonts w:ascii="Arial" w:cs="Arial" w:eastAsia="Arial" w:hAnsi="Arial"/>
          <w:sz w:val="18"/>
          <w:szCs w:val="18"/>
          <w:color w:val="auto"/>
        </w:rPr>
      </w:pPr>
    </w:p>
    <w:p>
      <w:pPr>
        <w:ind w:left="640" w:right="60" w:hanging="314"/>
        <w:spacing w:after="0" w:line="26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0" w:lineRule="exact"/>
        <w:rPr>
          <w:rFonts w:ascii="Arial" w:cs="Arial" w:eastAsia="Arial" w:hAnsi="Arial"/>
          <w:sz w:val="18"/>
          <w:szCs w:val="18"/>
          <w:color w:val="auto"/>
        </w:rPr>
      </w:pPr>
    </w:p>
    <w:p>
      <w:pPr>
        <w:ind w:left="640" w:hanging="314"/>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suspensions or terminations in future preclinical studies or clinical trials;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right="640" w:hanging="314"/>
        <w:spacing w:after="0" w:line="276"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any of our product candidates or the failure of a regulatory authority to accept data from preclinical studies or clinical trials conducted in other countries;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 candidates, including but not limited to clinical trial requirements for approvals;</w:t>
      </w:r>
    </w:p>
    <w:p>
      <w:pPr>
        <w:spacing w:after="0" w:line="124" w:lineRule="exact"/>
        <w:rPr>
          <w:rFonts w:ascii="Arial" w:cs="Arial" w:eastAsia="Arial" w:hAnsi="Arial"/>
          <w:sz w:val="17"/>
          <w:szCs w:val="17"/>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2" w:lineRule="exact"/>
        <w:rPr>
          <w:rFonts w:ascii="Arial" w:cs="Arial" w:eastAsia="Arial" w:hAnsi="Arial"/>
          <w:sz w:val="18"/>
          <w:szCs w:val="18"/>
          <w:color w:val="auto"/>
        </w:rPr>
      </w:pPr>
    </w:p>
    <w:p>
      <w:pPr>
        <w:ind w:left="640" w:right="40" w:hanging="314"/>
        <w:spacing w:after="0" w:line="276"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product candidates in particular, or positive or negative recommendations or withdrawal of research coverage by securities analysts;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2" w:lineRule="exact"/>
        <w:rPr>
          <w:rFonts w:ascii="Arial" w:cs="Arial" w:eastAsia="Arial" w:hAnsi="Arial"/>
          <w:sz w:val="18"/>
          <w:szCs w:val="18"/>
          <w:color w:val="auto"/>
        </w:rPr>
      </w:pPr>
    </w:p>
    <w:p>
      <w:pPr>
        <w:ind w:left="640" w:right="640" w:hanging="314"/>
        <w:spacing w:after="0" w:line="276"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12"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as a result of general economic conditions. Broad market and industry factors have negatively affected and may continue to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80" w:lineRule="exact"/>
        <w:rPr>
          <w:sz w:val="20"/>
          <w:szCs w:val="20"/>
          <w:color w:val="auto"/>
        </w:rPr>
      </w:pPr>
    </w:p>
    <w:p>
      <w:pPr>
        <w:ind w:right="440"/>
        <w:spacing w:after="0" w:line="28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36" w:lineRule="exact"/>
        <w:rPr>
          <w:sz w:val="20"/>
          <w:szCs w:val="20"/>
          <w:color w:val="auto"/>
        </w:rPr>
      </w:pPr>
    </w:p>
    <w:p>
      <w:pPr>
        <w:ind w:right="200" w:firstLine="439"/>
        <w:spacing w:after="0" w:line="276"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We may never obtain research coverage by industry or financial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analysts.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2"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75"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Future issuances of our common stock or the issuance of shares of common stock upon the exercise or conversion of securities that are exercisable or convertible into shares of common stock, such as our pre-funded warrants, or upon the exercise or vesting of incentive awards, may result in dilution for our stockholders.</w:t>
      </w:r>
    </w:p>
    <w:p>
      <w:pPr>
        <w:spacing w:after="0" w:line="55" w:lineRule="exact"/>
        <w:rPr>
          <w:sz w:val="20"/>
          <w:szCs w:val="20"/>
          <w:color w:val="auto"/>
        </w:rPr>
      </w:pPr>
    </w:p>
    <w:p>
      <w:pPr>
        <w:ind w:right="20" w:firstLine="439"/>
        <w:spacing w:after="0" w:line="270" w:lineRule="auto"/>
        <w:rPr>
          <w:sz w:val="20"/>
          <w:szCs w:val="20"/>
          <w:color w:val="auto"/>
        </w:rPr>
      </w:pPr>
      <w:r>
        <w:rPr>
          <w:rFonts w:ascii="Arial" w:cs="Arial" w:eastAsia="Arial" w:hAnsi="Arial"/>
          <w:sz w:val="17"/>
          <w:szCs w:val="17"/>
          <w:color w:val="auto"/>
        </w:rPr>
        <w:t>We have needed and may need additional capital in the future to continue our planned operations. To the extent that we raise additional capital by issuing equity securities, our stockholders may experience substantial dilution. We may sell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65"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As of December 31, 2025, we have outstanding pre-funded warrants to purchase 1,243,933 shares of common stock at an exercise price of $0.0001 per share,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could result in dilution to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79" w:lineRule="exact"/>
        <w:rPr>
          <w:sz w:val="20"/>
          <w:szCs w:val="20"/>
          <w:color w:val="auto"/>
        </w:rPr>
      </w:pPr>
    </w:p>
    <w:p>
      <w:pPr>
        <w:ind w:right="580"/>
        <w:spacing w:after="0" w:line="288"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36"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Arial" w:cs="Arial" w:eastAsia="Arial" w:hAnsi="Arial"/>
          <w:sz w:val="18"/>
          <w:szCs w:val="18"/>
          <w:i w:val="1"/>
          <w:iCs w:val="1"/>
          <w:color w:val="auto"/>
        </w:rPr>
        <w:t>.</w:t>
      </w:r>
    </w:p>
    <w:p>
      <w:pPr>
        <w:spacing w:after="0" w:line="76"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b w:val="1"/>
          <w:bCs w:val="1"/>
          <w:i w:val="1"/>
          <w:iCs w:val="1"/>
          <w:color w:val="auto"/>
        </w:rPr>
        <w:t>Our executive officers and directors and principal stockholders own a significant percentage of our stock and may exert significant influence over matters subject to stockholder approval.</w:t>
      </w:r>
    </w:p>
    <w:p>
      <w:pPr>
        <w:spacing w:after="0" w:line="36"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Based on shares outstanding as of December 31, 2025, our executive officers and directors, combined with our stockholders who own more than 5% of our outstanding common stock and their affiliates, beneficially hold, in the aggregate, approximately 35.2% of our outstanding voting stock. These stockholders, acting together, may exert significant influence over matters requiring stockholder approval. The concentration of voting power among these stockholders may have an adverse effect on the price of our common stock. This concentration of ownership control may adversely affect the market price of our common stock by:</w:t>
      </w:r>
    </w:p>
    <w:p>
      <w:pPr>
        <w:spacing w:after="0" w:line="76" w:lineRule="exact"/>
        <w:rPr>
          <w:sz w:val="20"/>
          <w:szCs w:val="20"/>
          <w:color w:val="auto"/>
        </w:rPr>
      </w:pPr>
    </w:p>
    <w:p>
      <w:pPr>
        <w:ind w:left="640" w:hanging="314"/>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entrenching our management and the board of directors;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314"/>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that other stockholders may desire; and/or</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Controls and Reporting Requirements</w:t>
      </w:r>
    </w:p>
    <w:p>
      <w:pPr>
        <w:spacing w:after="0" w:line="112" w:lineRule="exact"/>
        <w:rPr>
          <w:sz w:val="20"/>
          <w:szCs w:val="20"/>
          <w:color w:val="auto"/>
        </w:rPr>
      </w:pPr>
    </w:p>
    <w:p>
      <w:pPr>
        <w:ind w:right="540"/>
        <w:spacing w:after="0" w:line="28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36" w:lineRule="exact"/>
        <w:rPr>
          <w:sz w:val="20"/>
          <w:szCs w:val="20"/>
          <w:color w:val="auto"/>
        </w:rPr>
      </w:pPr>
    </w:p>
    <w:p>
      <w:pPr>
        <w:ind w:right="100" w:firstLine="439"/>
        <w:spacing w:after="0" w:line="251" w:lineRule="auto"/>
        <w:rPr>
          <w:sz w:val="20"/>
          <w:szCs w:val="20"/>
          <w:color w:val="auto"/>
        </w:rPr>
      </w:pPr>
      <w:r>
        <w:rPr>
          <w:rFonts w:ascii="Arial" w:cs="Arial" w:eastAsia="Arial" w:hAnsi="Arial"/>
          <w:sz w:val="18"/>
          <w:szCs w:val="18"/>
          <w:color w:val="auto"/>
        </w:rPr>
        <w:t>We are subject to the reporting requirements of the Securities Exchange Act of 1934, as amended, or the Exchange Act, which require, among other things, that we file with the SEC annual, quarterly and current reports with respect to our business and financial condition. In addition, the Sarbanes-Oxley Act, the Dodd-Frank Wall Street Reform and Consumer Protection Act, and The Nasdaq Global Select Market and other applicable securities rules and regulations impose significant requirements on public companies, including requiring establishment and maintenance of effective disclosure and financial reporting controls and corporate governance practices.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9" w:lineRule="exact"/>
        <w:rPr>
          <w:sz w:val="20"/>
          <w:szCs w:val="20"/>
          <w:color w:val="auto"/>
        </w:rPr>
      </w:pPr>
    </w:p>
    <w:p>
      <w:pPr>
        <w:ind w:right="80" w:firstLine="439"/>
        <w:spacing w:after="0" w:line="251" w:lineRule="auto"/>
        <w:rPr>
          <w:sz w:val="20"/>
          <w:szCs w:val="20"/>
          <w:color w:val="auto"/>
        </w:rPr>
      </w:pPr>
      <w:r>
        <w:rPr>
          <w:rFonts w:ascii="Arial" w:cs="Arial" w:eastAsia="Arial" w:hAnsi="Arial"/>
          <w:sz w:val="18"/>
          <w:szCs w:val="18"/>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an adverse effect on our business. Increased costs would decrease our net income or increase our net loss, and may require us to reduce costs in other areas of our business or increase the prices of our products or services. We cannot predict or estimate the amount or timing of additional costs we may incur to comply with these or new requirements. The impact of these or new requirements could also make it more difficult for us to attract and retain qualified persons to serve on our board of directors, our board committees or as executive officers.</w:t>
      </w:r>
    </w:p>
    <w:p>
      <w:pPr>
        <w:spacing w:after="0" w:line="82"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55"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Pursuant to Section 404 of the Sarbanes-Oxley Act, or Section 404, we are required to furnish a report by our management on our internal control over financial reporting and to include an attestation report on internal control over financial reporting issued by our independent registered public accounting firm.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functioning as documented and implement a continuous reporting and improvement process for internal control over financial reporting. Any testing by us or our independent registered accounting firm conducted in connection with Section 404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82" w:lineRule="exact"/>
        <w:rPr>
          <w:sz w:val="20"/>
          <w:szCs w:val="20"/>
          <w:color w:val="auto"/>
        </w:rPr>
      </w:pPr>
    </w:p>
    <w:p>
      <w:pPr>
        <w:ind w:right="140" w:firstLine="439"/>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An independent assessment of the effectiveness of our internal controls over financial reporting, such as the one conducted by our independent public accounting firm on an annual basis,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ind w:right="180" w:firstLine="439"/>
        <w:spacing w:after="0" w:line="261"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over the use of our cash, cash equivalents and marketable securities and may not use them effectively.</w:t>
      </w:r>
    </w:p>
    <w:p>
      <w:pPr>
        <w:spacing w:after="0" w:line="112"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Our management has broad discretion to use our cash, cash equivalents and marketable securities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and, if approved, commercialization of our product candidates. Pending our use to fund operations, we may invest our cash, cash equivalents and marketable securities in a manner that does not produce income or that loses value.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Charter and Bylaws</w:t>
      </w:r>
    </w:p>
    <w:p>
      <w:pPr>
        <w:spacing w:after="0" w:line="112" w:lineRule="exact"/>
        <w:rPr>
          <w:sz w:val="20"/>
          <w:szCs w:val="20"/>
          <w:color w:val="auto"/>
        </w:rPr>
      </w:pPr>
    </w:p>
    <w:p>
      <w:pPr>
        <w:jc w:val="both"/>
        <w:ind w:right="320"/>
        <w:spacing w:after="0" w:line="267" w:lineRule="auto"/>
        <w:rPr>
          <w:sz w:val="20"/>
          <w:szCs w:val="20"/>
          <w:color w:val="auto"/>
        </w:rPr>
      </w:pPr>
      <w:r>
        <w:rPr>
          <w:rFonts w:ascii="Arial" w:cs="Arial" w:eastAsia="Arial" w:hAnsi="Arial"/>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5"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70" w:lineRule="exact"/>
        <w:rPr>
          <w:sz w:val="20"/>
          <w:szCs w:val="20"/>
          <w:color w:val="auto"/>
        </w:rPr>
      </w:pPr>
    </w:p>
    <w:p>
      <w:pPr>
        <w:ind w:left="640" w:right="480" w:hanging="314"/>
        <w:spacing w:after="0" w:line="276"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56" w:lineRule="exact"/>
        <w:rPr>
          <w:rFonts w:ascii="Arial" w:cs="Arial" w:eastAsia="Arial" w:hAnsi="Arial"/>
          <w:sz w:val="18"/>
          <w:szCs w:val="18"/>
          <w:color w:val="auto"/>
        </w:rPr>
      </w:pPr>
    </w:p>
    <w:p>
      <w:pPr>
        <w:ind w:left="640" w:right="300" w:hanging="314"/>
        <w:spacing w:after="0" w:line="276"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56" w:lineRule="exact"/>
        <w:rPr>
          <w:rFonts w:ascii="Arial" w:cs="Arial" w:eastAsia="Arial" w:hAnsi="Arial"/>
          <w:sz w:val="18"/>
          <w:szCs w:val="18"/>
          <w:color w:val="auto"/>
        </w:rPr>
      </w:pPr>
    </w:p>
    <w:p>
      <w:pPr>
        <w:ind w:left="640" w:right="160" w:hanging="314"/>
        <w:spacing w:after="0" w:line="276"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2" w:lineRule="exact"/>
        <w:rPr>
          <w:rFonts w:ascii="Arial" w:cs="Arial" w:eastAsia="Arial" w:hAnsi="Arial"/>
          <w:sz w:val="18"/>
          <w:szCs w:val="18"/>
          <w:color w:val="auto"/>
        </w:rPr>
      </w:pPr>
    </w:p>
    <w:p>
      <w:pPr>
        <w:ind w:left="640" w:right="220" w:hanging="314"/>
        <w:spacing w:after="0" w:line="261"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0" w:lineRule="exact"/>
        <w:rPr>
          <w:rFonts w:ascii="Arial" w:cs="Arial" w:eastAsia="Arial" w:hAnsi="Arial"/>
          <w:sz w:val="18"/>
          <w:szCs w:val="18"/>
          <w:color w:val="auto"/>
        </w:rPr>
      </w:pPr>
    </w:p>
    <w:p>
      <w:pPr>
        <w:ind w:left="640" w:right="60" w:hanging="314"/>
        <w:spacing w:after="0" w:line="276"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6" w:lineRule="exact"/>
        <w:rPr>
          <w:rFonts w:ascii="Arial" w:cs="Arial" w:eastAsia="Arial" w:hAnsi="Arial"/>
          <w:sz w:val="18"/>
          <w:szCs w:val="18"/>
          <w:color w:val="auto"/>
        </w:rPr>
      </w:pPr>
    </w:p>
    <w:p>
      <w:pPr>
        <w:ind w:left="640" w:right="180" w:hanging="314"/>
        <w:spacing w:after="0" w:line="307"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32"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9" w:lineRule="exact"/>
        <w:rPr>
          <w:sz w:val="20"/>
          <w:szCs w:val="20"/>
          <w:color w:val="auto"/>
        </w:rPr>
      </w:pPr>
    </w:p>
    <w:p>
      <w:pPr>
        <w:ind w:right="760"/>
        <w:spacing w:after="0" w:line="288" w:lineRule="auto"/>
        <w:rPr>
          <w:sz w:val="20"/>
          <w:szCs w:val="20"/>
          <w:color w:val="auto"/>
        </w:rPr>
      </w:pPr>
      <w:r>
        <w:rPr>
          <w:rFonts w:ascii="Arial" w:cs="Arial" w:eastAsia="Arial" w:hAnsi="Arial"/>
          <w:sz w:val="18"/>
          <w:szCs w:val="18"/>
          <w:b w:val="1"/>
          <w:bCs w:val="1"/>
          <w:i w:val="1"/>
          <w:iCs w:val="1"/>
          <w:color w:val="auto"/>
        </w:rPr>
        <w:t>Our amended and restated bylaws designate certain courts as the sole and exclusive forum for certain types of actions and proceedings that may be initiated by our stockholders, which could limit our</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ability to obtain a favorable judicial forum for disputes with us or our directors, officers, or employees.</w:t>
      </w:r>
    </w:p>
    <w:p>
      <w:pPr>
        <w:spacing w:after="0" w:line="112" w:lineRule="exact"/>
        <w:rPr>
          <w:sz w:val="20"/>
          <w:szCs w:val="20"/>
          <w:color w:val="auto"/>
        </w:rPr>
      </w:pPr>
    </w:p>
    <w:p>
      <w:pPr>
        <w:ind w:firstLine="439"/>
        <w:spacing w:after="0" w:line="263" w:lineRule="auto"/>
        <w:rPr>
          <w:sz w:val="20"/>
          <w:szCs w:val="20"/>
          <w:color w:val="auto"/>
        </w:rPr>
      </w:pPr>
      <w:r>
        <w:rPr>
          <w:rFonts w:ascii="Arial" w:cs="Arial" w:eastAsia="Arial" w:hAnsi="Arial"/>
          <w:sz w:val="17"/>
          <w:szCs w:val="17"/>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DGCL, our amended and restated certificate of incorporation or our bylaws (in each case, as they may be amended from time to time) or (iv) any action asserting a claim that is governed by the internal affairs doctrine, in each case subject to the Court of Chancery having personal jurisdiction over the indispensable parties named as defendants therein; provided, however, that this exclusive forum provision will not apply to any causes of action arising under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specify that unless we consent in writing to the selection of an alternate forum, the federal district courts of the United States shall be the exclusive forum for the resolution of any complaint asserting a cause of action arising under the Securities Act. Any person or entity purchasing or otherwise acquiring any interest in shares of our common stock is deemed to have notice of and consented to the foregoing provisions. We recognize that the forum selection clause in our bylaws may impose additional litigation costs on stockholders in pursuing any such claims.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enforceability of similar choice of forum provisions in other companies’ governing documents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14" w:lineRule="exact"/>
        <w:rPr>
          <w:sz w:val="20"/>
          <w:szCs w:val="20"/>
          <w:color w:val="auto"/>
        </w:rPr>
      </w:pPr>
    </w:p>
    <w:p>
      <w:pPr>
        <w:ind w:right="440" w:firstLine="439"/>
        <w:spacing w:after="0" w:line="276"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56"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We design and assess our cybersecurity risk management program based on the National Institute of Standards and Technology Cybersecurity Framework, or NIST CSF, and integrate recognized security best practices relevant to our business. This does not imply that we meet any particular technical standards, specifications, or requirements, only that we use the NIST CSF as a guide to help us identify, assess, and manage cybersecurity risks relevant to our business. As our operations scale and we transition to commercialization, our cybersecurity risk management program is designed to scale accordingly, including through enhanced governance, layered security controls, third-party oversight and continuous monitoring.</w:t>
      </w:r>
    </w:p>
    <w:p>
      <w:pPr>
        <w:spacing w:after="0" w:line="80" w:lineRule="exact"/>
        <w:rPr>
          <w:sz w:val="20"/>
          <w:szCs w:val="20"/>
          <w:color w:val="auto"/>
        </w:rPr>
      </w:pPr>
    </w:p>
    <w:p>
      <w:pPr>
        <w:ind w:right="680" w:firstLine="439"/>
        <w:spacing w:after="0" w:line="307" w:lineRule="auto"/>
        <w:rPr>
          <w:sz w:val="20"/>
          <w:szCs w:val="20"/>
          <w:color w:val="auto"/>
        </w:rPr>
      </w:pPr>
      <w:r>
        <w:rPr>
          <w:rFonts w:ascii="Arial" w:cs="Arial" w:eastAsia="Arial" w:hAnsi="Arial"/>
          <w:sz w:val="17"/>
          <w:szCs w:val="17"/>
          <w:color w:val="auto"/>
        </w:rPr>
        <w:t>Our cybersecurity risk management program is integrated into our overall risk management framework, and shares common methodologies, reporting channels and governance processes across legal, compliance, strategic, operational and financial risk areas.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cybersecurity risk management program include but are not limited to:</w:t>
      </w:r>
    </w:p>
    <w:p>
      <w:pPr>
        <w:spacing w:after="0" w:line="112" w:lineRule="exact"/>
        <w:rPr>
          <w:sz w:val="20"/>
          <w:szCs w:val="20"/>
          <w:color w:val="auto"/>
        </w:rPr>
      </w:pPr>
    </w:p>
    <w:p>
      <w:pPr>
        <w:jc w:val="center"/>
        <w:ind w:left="5520" w:right="1000" w:hanging="5194"/>
        <w:spacing w:after="0" w:line="909"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 assessments designed to help identify material risks from cybersecurity threats to our critical systems and information;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-312420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right="140" w:hanging="314"/>
        <w:spacing w:after="0" w:line="261"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adoption of layered cybersecurity controls, including enhanced identity and access controls, automated detection and remediation for email threats, endpoint and network protections, centralized security monitoring and retention of security logs sufficient to support investigations and audit evidence;</w:t>
      </w:r>
    </w:p>
    <w:p>
      <w:pPr>
        <w:spacing w:after="0" w:line="70" w:lineRule="exact"/>
        <w:rPr>
          <w:rFonts w:ascii="Arial" w:cs="Arial" w:eastAsia="Arial" w:hAnsi="Arial"/>
          <w:sz w:val="18"/>
          <w:szCs w:val="18"/>
          <w:color w:val="auto"/>
        </w:rPr>
      </w:pPr>
    </w:p>
    <w:p>
      <w:pPr>
        <w:ind w:left="640" w:right="40" w:hanging="314"/>
        <w:spacing w:after="0" w:line="261"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security team principally responsible for managing (1) our cybersecurity risk-assessment processes, (2) our security controls, (3) our response to cybersecurity incidents, and (4) the ongoing improvement of our security posture through measurement, testing, threat-hunting and lessons-learned activities;</w:t>
      </w:r>
    </w:p>
    <w:p>
      <w:pPr>
        <w:spacing w:after="0" w:line="70" w:lineRule="exact"/>
        <w:rPr>
          <w:rFonts w:ascii="Arial" w:cs="Arial" w:eastAsia="Arial" w:hAnsi="Arial"/>
          <w:sz w:val="18"/>
          <w:szCs w:val="18"/>
          <w:color w:val="auto"/>
        </w:rPr>
      </w:pPr>
    </w:p>
    <w:p>
      <w:pPr>
        <w:ind w:left="640" w:right="340" w:hanging="314"/>
        <w:spacing w:after="0" w:line="276"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processes, including 24/7 monitoring and additional technical expertise, and periodic penetration and vulnerability testing;</w:t>
      </w:r>
    </w:p>
    <w:p>
      <w:pPr>
        <w:spacing w:after="0" w:line="56" w:lineRule="exact"/>
        <w:rPr>
          <w:rFonts w:ascii="Arial" w:cs="Arial" w:eastAsia="Arial" w:hAnsi="Arial"/>
          <w:sz w:val="18"/>
          <w:szCs w:val="18"/>
          <w:color w:val="auto"/>
        </w:rPr>
      </w:pPr>
    </w:p>
    <w:p>
      <w:pPr>
        <w:ind w:left="640" w:hanging="314"/>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cybersecurity awareness training for our employees, including incident response personnel and senior management;</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12" w:lineRule="exact"/>
        <w:rPr>
          <w:rFonts w:ascii="Arial" w:cs="Arial" w:eastAsia="Arial" w:hAnsi="Arial"/>
          <w:sz w:val="18"/>
          <w:szCs w:val="18"/>
          <w:color w:val="auto"/>
        </w:rPr>
      </w:pPr>
    </w:p>
    <w:p>
      <w:pPr>
        <w:ind w:left="640" w:hanging="314"/>
        <w:spacing w:after="0" w:line="276"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security audits and a third-party risk assessment process for key service providers, suppliers and vendors based on our assessment of their criticality to our operations and respective risk profile.</w:t>
      </w:r>
    </w:p>
    <w:p>
      <w:pPr>
        <w:spacing w:after="0" w:line="163" w:lineRule="exact"/>
        <w:rPr>
          <w:sz w:val="20"/>
          <w:szCs w:val="20"/>
          <w:color w:val="auto"/>
        </w:rPr>
      </w:pPr>
    </w:p>
    <w:p>
      <w:pPr>
        <w:ind w:right="180" w:firstLine="439"/>
        <w:spacing w:after="0" w:line="251"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or are reasonably likely to materially affect us, including our business strategy, results of operations or financial condition. We face risks from cybersecurity threats that, if realized, are reasonably likely to materially affect us, including our operations, business strategy, results of operations, or financial condition. For more information, see the section titled “Risk Factor—Risks Related to Data Privacy and Cybersecurity—Cyberattacks or other failures in our telecommunications or information technology, or IT,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14"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Our Board of Directors considers cybersecurity risk as part of its risk oversight function and has delegated to the Audit Committee oversight of cybersecurity and risks, including oversight of management's implementation of our cybersecurity risk management program. The Audit Committee receives regular updates from management on cybersecurity risks, control maturity and significant cybersecurity matters, including those related to systems surrounding commercial operations. In addition, management updates the Audit Committee, when it deems appropriate, regarding cybersecurity incidents it considers to be significant or potentially significant. The Audit Committee reports to the full Board regarding its activities, including those related to cybersecurity.</w:t>
      </w:r>
    </w:p>
    <w:p>
      <w:pPr>
        <w:spacing w:after="0" w:line="80"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We maintain an internal cybersecurity team, reporting to our Chief Financial Officer, who is responsible for managing our cybersecurity risk-management program, assessing and mitigating cyber risks, and overseeing retained cybersecurity consultants and providers for additional external expertise. This internal team is led by our Vice President of Information Technology, who has over 20 years of experience managing cybersecurity, systems architecture and complex data operations for biotechnology and pharmaceutical companies. Additional team members have between 12 to 15 years of experience each in cybersecurity, IT management and cloud architecture. The internal team works closely with external network operations and cybersecurity teams who provide 24/7 network operations and cybersecurity review and response capabilities.</w:t>
      </w:r>
    </w:p>
    <w:p>
      <w:pPr>
        <w:spacing w:after="0" w:line="82"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We have an Executive Compliance Committee consisting of executive officers and members from senior management across the regulatory, quality, legal, finance and people operations functions that takes steps to stay informed about and monitor efforts to prevent, detect, mitigate and remediate cybersecurity risks and incidents through various means, which includes updates from our internal cybersecurity team, as relevant; review of any threat intelligence and other information obtained from governmental, public or private sources, including external consultants engaged by us; and alerts and reports produced by security tools deployed in our IT environment.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14" w:lineRule="exact"/>
        <w:rPr>
          <w:sz w:val="20"/>
          <w:szCs w:val="20"/>
          <w:color w:val="auto"/>
        </w:rPr>
      </w:pPr>
    </w:p>
    <w:p>
      <w:pPr>
        <w:ind w:right="220" w:firstLine="439"/>
        <w:spacing w:after="0" w:line="261" w:lineRule="auto"/>
        <w:rPr>
          <w:sz w:val="20"/>
          <w:szCs w:val="20"/>
          <w:color w:val="auto"/>
        </w:rPr>
      </w:pPr>
      <w:r>
        <w:rPr>
          <w:rFonts w:ascii="Arial" w:cs="Arial" w:eastAsia="Arial" w:hAnsi="Arial"/>
          <w:sz w:val="18"/>
          <w:szCs w:val="18"/>
          <w:color w:val="auto"/>
        </w:rPr>
        <w:t>We sublease a facility containing 25,445 square feet of office space, which is located at 99 High Street, Boston, Massachusetts 02110. Our sublease expires on February 28, 2026. We have entered into a license agreement for our existing office space which commences on March 1, 2026 and expires on March 31, 2027. We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believe that our current facility is sufficient to meet our current and near-term needs and that, should it be needed, suitable additional space will be available.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4"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We are not currently a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325" w:lineRule="exact"/>
        <w:rPr>
          <w:sz w:val="20"/>
          <w:szCs w:val="20"/>
          <w:color w:val="auto"/>
        </w:rPr>
      </w:pPr>
    </w:p>
    <w:p>
      <w:pPr>
        <w:ind w:right="1140"/>
        <w:spacing w:after="0" w:line="371"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Certain Information Regarding the Trading of Our Common Stock</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trades under the symbol “PRAX” on the Nasdaq Global Select Market.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2"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The following performance graph shall not be deemed “soliciting material” or to be “filed” with the SEC for purposes of the Exchange Act or otherwise subject to the liabilities under that section, and shall not be deemed to be incorporated by reference into any filing of Praxis Precision Medicines, Inc. under the Securities Act or the Exchange Act, whether made before or after the date hereof and irrespective of any general incorporation language in any such filing.</w:t>
      </w:r>
    </w:p>
    <w:p>
      <w:pPr>
        <w:spacing w:after="0" w:line="182"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The following graph illustrates a comparison for the five years ended December 31, 2025 of the cumulative total return for our common stock, the Nasdaq Composite and the Nasdaq Biotechnology Index, each of which assumes an initial investment of $100. Pursuant to applicable SEC rules, all values assume reinvestment of the full amount of all dividends, however no dividends have been declared on our common stock to date. Such returns are based on historical results and are not intended to suggest future performance.</w:t>
      </w:r>
    </w:p>
    <w:p>
      <w:pPr>
        <w:spacing w:after="0" w:line="182" w:lineRule="exact"/>
        <w:rPr>
          <w:sz w:val="20"/>
          <w:szCs w:val="20"/>
          <w:color w:val="auto"/>
        </w:rPr>
      </w:pPr>
    </w:p>
    <w:p>
      <w:pPr>
        <w:ind w:right="260" w:firstLine="439"/>
        <w:spacing w:after="0" w:line="276"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5781675" cy="3516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81675" cy="351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Stock</w:t>
      </w:r>
    </w:p>
    <w:p>
      <w:pPr>
        <w:spacing w:after="0" w:line="112"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As of February 16, 2026, there were approximately two holders of record of shares of our common stock. The actual number of stockholders is greater than this number of record holders, and includes stockholders who are beneficial owners, but whose shares are held in street name by brokers and other nominees.</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2"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make any sales of unregistered securities during the three months ended December 31, 2025.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repurchases of shares of common stock made during the three months ended December 31, 2025.</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35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320" w:top="115" w:right="7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financing needs,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 w:lineRule="exact"/>
        <w:rPr>
          <w:sz w:val="20"/>
          <w:szCs w:val="20"/>
          <w:color w:val="auto"/>
        </w:rPr>
      </w:pPr>
    </w:p>
    <w:p>
      <w:pPr>
        <w:ind w:right="60" w:firstLine="439"/>
        <w:spacing w:after="0" w:line="248" w:lineRule="auto"/>
        <w:rPr>
          <w:sz w:val="20"/>
          <w:szCs w:val="20"/>
          <w:color w:val="auto"/>
        </w:rPr>
      </w:pPr>
      <w:r>
        <w:rPr>
          <w:rFonts w:ascii="Arial" w:cs="Arial" w:eastAsia="Arial" w:hAnsi="Arial"/>
          <w:sz w:val="18"/>
          <w:szCs w:val="18"/>
          <w:color w:val="auto"/>
        </w:rPr>
        <w:t>As noted in our Company Overview in Part I of this report, we are a fully integrated, leading central nervous system, or CNS, precision neuroscience biopharmaceutical company translating insights from genetic epilepsies into the development of therapies for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37" w:lineRule="exact"/>
        <w:rPr>
          <w:sz w:val="20"/>
          <w:szCs w:val="20"/>
          <w:color w:val="auto"/>
        </w:rPr>
      </w:pPr>
    </w:p>
    <w:p>
      <w:pPr>
        <w:ind w:left="640" w:right="260" w:hanging="314"/>
        <w:spacing w:after="0" w:line="276"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109" w:lineRule="exact"/>
        <w:rPr>
          <w:rFonts w:ascii="Arial" w:cs="Arial" w:eastAsia="Arial" w:hAnsi="Arial"/>
          <w:sz w:val="18"/>
          <w:szCs w:val="18"/>
          <w:color w:val="auto"/>
        </w:rPr>
      </w:pPr>
    </w:p>
    <w:p>
      <w:pPr>
        <w:ind w:left="640" w:right="320" w:hanging="314"/>
        <w:spacing w:after="0" w:line="276"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63"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182" w:lineRule="exact"/>
        <w:rPr>
          <w:sz w:val="20"/>
          <w:szCs w:val="20"/>
          <w:color w:val="auto"/>
        </w:rPr>
      </w:pPr>
    </w:p>
    <w:p>
      <w:pPr>
        <w:ind w:right="80" w:firstLine="439"/>
        <w:spacing w:after="0" w:line="261" w:lineRule="auto"/>
        <w:rPr>
          <w:sz w:val="20"/>
          <w:szCs w:val="20"/>
          <w:color w:val="auto"/>
        </w:rPr>
      </w:pPr>
      <w:r>
        <w:rPr>
          <w:rFonts w:ascii="Arial" w:cs="Arial" w:eastAsia="Arial" w:hAnsi="Arial"/>
          <w:sz w:val="18"/>
          <w:szCs w:val="18"/>
          <w:color w:val="auto"/>
        </w:rPr>
        <w:t>For our ulixacaltamide program within the Cerebrum™ platform, we announced positive topline results for the two studies in the Phase 3 Essential3 program in essential tremor, or ET, in October 2025. We submitted a New Drug Application, or NDA, for ulixacaltamide for the treatment of ET to the FDA, and have commenced commercial preparations and pre-launch activities.</w:t>
      </w:r>
    </w:p>
    <w:p>
      <w:pPr>
        <w:spacing w:after="0" w:line="177"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For our relutrigine program within the Cerebrum™ platform, in December 2025, we announced positive results from the registrational cohort of the EMBOLD study in SCN2A and SCN8A developmental and epileptic encephalopathies, or DEEs, after receiving a recommendation from the Data Monitoring Committee to stop the study early for efficacy. We submitted an NDA for relutrigine for the treatment of SCN2A-DEE and SCN8A-DEE to the FDA, and commercial preparations and pre-launch activities are underway. The EMERALD study, which is evaluating relutrigine in patients with broad DEEs, is ongoing and we expect to be fully enrolled in the second half of 2026. Assuming approval of the NDA for relutrigine, we believe the EMERALD study, if positive, could serve as the basis for a supplemental NDA, or sNDA, submission in 2027.</w:t>
      </w:r>
    </w:p>
    <w:p>
      <w:pPr>
        <w:spacing w:after="0" w:line="189"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For our vormatrigine program within the Cerebrum™ platform, our ENERGY program is ongoing, which consists of five studies to generate patient eligibility, efficacy, safety and pharmacokinetics, or PK, data in patients with focal onset seizures, or FOS, or generalized epilepsy. Studies under the ENERGY program include EMPOWER, RADIANT, POWER1, POWER2 and POWER3. In the second half of 2025, we announced positive results from our RADIANT Phase 2 open-label study evaluating the PK, safety and efficacy of vormatrigine in patients with FOS or generalized epilepsy. We initiated the EMPOWER study, an observational study of vormatrigine in patients with epilepsy, in the third quarter of 2024. For our POWER1 study, a double-blind, placebo-controlled, 12-week study in focal onset seizures, we expect to announce topline results in the second quarter of 2026. POWER2, our third efficacy study, is enrolling patients, with completion expected in the second half of 2026 and topline results expected in 2027. We intend to initiate POWER3, a clinical trial evaluating vormatrigine as a single-agent treatment for focal onset seizures, in the first half of 2026.</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80" w:firstLine="439"/>
        <w:spacing w:after="0" w:line="284" w:lineRule="auto"/>
        <w:rPr>
          <w:sz w:val="20"/>
          <w:szCs w:val="20"/>
          <w:color w:val="auto"/>
        </w:rPr>
      </w:pPr>
      <w:r>
        <w:rPr>
          <w:rFonts w:ascii="Arial" w:cs="Arial" w:eastAsia="Arial" w:hAnsi="Arial"/>
          <w:sz w:val="17"/>
          <w:szCs w:val="17"/>
          <w:color w:val="auto"/>
        </w:rPr>
        <w:t>For our most advanced product candidate under the Solidus™ platform, elsunersen, we expect to announce topline results for the EMBRAVE Part A study evaluating the safety and efficacy of elsunersen versus sham procedure in the first half of 2026. We are currently enrolling EMBRAVE3, a Phase 3 registrational study for SCN2A gain-of-function DEE, and expect to announce topline results in 2027.</w:t>
      </w:r>
    </w:p>
    <w:p>
      <w:pPr>
        <w:spacing w:after="0" w:line="158"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We also have three earlier stage novel ASOs with preclinical proof of mechanism. PRAX-080 is focused on PCDH19 mosaic expression, PRAX-090 is targeting SYNGAP1 loss-of-function, or LoF, mutations which is a leading cause of severe intellectual disability and epilepsy in DEEs, and PRAX-100 is targeting SCN2A LoF mutations, the predominant generic link to de novo autism spectrum disorders, or ASD. We anticipate nominating a development candidate for PRAX-080, PRAX-090 and PRAX-100 in the first half of 2026.</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details on our business, refer to the Business section of Part I of this report.</w:t>
      </w:r>
    </w:p>
    <w:p>
      <w:pPr>
        <w:spacing w:after="0" w:line="219"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87"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We are a development stage company and we have not generated any revenue from product sales. All of our product candidates are in preclinical and clinical development or awaiting regulatory approval.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net losses of $303.3 million and $182.8 million for the years ended December 31, 2025 and 2024, respectively. As of December 31, 2025, we had an accumulated deficit of $ 1.1 billion. We expect to incur significant expenses for the foreseeable future as we expand our research and development activities and prepare for commercialization of our product candidates.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36" w:lineRule="exact"/>
        <w:rPr>
          <w:sz w:val="20"/>
          <w:szCs w:val="20"/>
          <w:color w:val="auto"/>
        </w:rPr>
      </w:pPr>
    </w:p>
    <w:p>
      <w:pPr>
        <w:ind w:left="640" w:right="640" w:hanging="314"/>
        <w:spacing w:after="0" w:line="27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prepare for the potential commercialization of ulixacaltamide, for which we have submitted an NDA to the FDA, after successful completion of our Phase 3 Essential3 program for ET;</w:t>
      </w:r>
    </w:p>
    <w:p>
      <w:pPr>
        <w:spacing w:after="0" w:line="109" w:lineRule="exact"/>
        <w:rPr>
          <w:rFonts w:ascii="Arial" w:cs="Arial" w:eastAsia="Arial" w:hAnsi="Arial"/>
          <w:sz w:val="18"/>
          <w:szCs w:val="18"/>
          <w:color w:val="auto"/>
        </w:rPr>
      </w:pPr>
    </w:p>
    <w:p>
      <w:pPr>
        <w:ind w:left="640" w:right="300" w:hanging="314"/>
        <w:spacing w:after="0" w:line="27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prepare for the potential commercialization of relutrigine, for which we have submitted an NDA to the FDA after a successful interim analysis in the EMBOLD clinical trial, and advance relutrigine in the EMERALD clinical trial;</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vormatrigine in the ENERGY clinical trials for focal onset seizures or generalized epilepsy;</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elsunersen in the EMBRAVE Part A clinical trial and EMBRAVE3 pivotal clinical trial;</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to seek regulatory approval for our product candidates;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65" w:lineRule="exact"/>
        <w:rPr>
          <w:rFonts w:ascii="Arial" w:cs="Arial" w:eastAsia="Arial" w:hAnsi="Arial"/>
          <w:sz w:val="18"/>
          <w:szCs w:val="18"/>
          <w:color w:val="auto"/>
        </w:rPr>
      </w:pPr>
    </w:p>
    <w:p>
      <w:pPr>
        <w:ind w:left="640" w:right="60" w:hanging="314"/>
        <w:spacing w:after="0" w:line="27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building our sales, marketing and distribution infrastructure to commercialize any products for which we may obtain marketing approval; and</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 our headcount to support our development and commercialization efforts.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As a result, we will need substantial capital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2" w:lineRule="exact"/>
        <w:rPr>
          <w:sz w:val="20"/>
          <w:szCs w:val="20"/>
          <w:color w:val="auto"/>
        </w:rPr>
      </w:pPr>
    </w:p>
    <w:p>
      <w:pPr>
        <w:ind w:right="280" w:firstLine="439"/>
        <w:spacing w:after="0" w:line="254" w:lineRule="auto"/>
        <w:rPr>
          <w:sz w:val="20"/>
          <w:szCs w:val="20"/>
          <w:color w:val="auto"/>
        </w:rPr>
      </w:pPr>
      <w:r>
        <w:rPr>
          <w:rFonts w:ascii="Arial" w:cs="Arial" w:eastAsia="Arial" w:hAnsi="Arial"/>
          <w:sz w:val="18"/>
          <w:szCs w:val="18"/>
          <w:color w:val="auto"/>
        </w:rPr>
        <w:t>In December 2023, we entered into an Open Market Sale Agreement, or the 2023 Sales Agreement, with Jefferies, to provide for the offering, issuance and sale of up to an aggregate amount of $75.0 million of common stock from time to time in at-the-market offerings. The 2023 Sales Agreement was terminated in January 2024. During the year ended December 31, 2024, we issued and sold an aggregate of 192,190 shares under the 2023 Sales Agreement for aggregate net proceeds of $5.3 million, after deducting commissions and offering expenses payable by us.</w:t>
      </w:r>
    </w:p>
    <w:p>
      <w:pPr>
        <w:spacing w:after="0" w:line="183" w:lineRule="exact"/>
        <w:rPr>
          <w:sz w:val="20"/>
          <w:szCs w:val="20"/>
          <w:color w:val="auto"/>
        </w:rPr>
      </w:pPr>
    </w:p>
    <w:p>
      <w:pPr>
        <w:ind w:firstLine="439"/>
        <w:spacing w:after="0" w:line="266" w:lineRule="auto"/>
        <w:rPr>
          <w:sz w:val="20"/>
          <w:szCs w:val="20"/>
          <w:color w:val="auto"/>
        </w:rPr>
      </w:pPr>
      <w:r>
        <w:rPr>
          <w:rFonts w:ascii="Arial" w:cs="Arial" w:eastAsia="Arial" w:hAnsi="Arial"/>
          <w:sz w:val="17"/>
          <w:szCs w:val="17"/>
          <w:color w:val="auto"/>
        </w:rPr>
        <w:t>In January 2024, we completed a public offering of: (i) an aggregate of 3,802,025 shares of our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us. During the year ended December 31, 2024, 152,145 pre-funded warrants were exercised via a cashless exercise, resulting in 152,142 shares of common stock issued. No cash proceeds associated with the exercise were received by us. During the year ended December 31, 2025, 200,355 pre-funded warrants were exercised via cashless exercise, resulting in 200,349 shares of common stock issued. No cash proceeds associated with the exercise were received by us. As of December 31, 2025, a total of 704,225 pre-funded warrants associated with this offering remained outstanding.</w:t>
      </w:r>
    </w:p>
    <w:p>
      <w:pPr>
        <w:spacing w:after="0" w:line="176"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In March 2024, we entered into an Open Market Sale Agreement, or the March 2024 Sales Agreement, with Jefferies, to provide for the offering, issuance, and sale of up to an aggregate amount of $150.0 million of common stock from time to time in at-the-market offerings. During the year ended December 31, 2024, we issued and sold an aggregate of 1,614,975 shares under the March 2024 Sales Agreement for aggregate net proceeds of $113.1 million, after deducting commissions and offering expenses payable by us.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April 2024, we completed a public offering of: (i) an aggregate of 3,849,558 shares of our common stock at a public offering price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$56.50 per share, including the underwriters' full exercise of their option to purchase 530,973 additional shares of common stock, and (ii) pre-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funded warrants to purchase 221,238 shares of common stock at a public offering price of $56.4999 per share of common stock underlying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warrants. The purchase price per share for each pre-funded warrant represents the per share offering price for the common stock, less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$0.0001 per share exercise price of each underlying share. Total net proceeds generated from the offering were approximately $216.0 million,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after deducting underwriting discounts, commissions and other offering expenses payable by us. As of December 31, 2025, none of the pre-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funded warrants have been exercised and all remained outstanding.</w:t>
      </w:r>
    </w:p>
    <w:p>
      <w:pPr>
        <w:spacing w:after="0" w:line="203" w:lineRule="exact"/>
        <w:rPr>
          <w:sz w:val="20"/>
          <w:szCs w:val="20"/>
          <w:color w:val="auto"/>
        </w:rPr>
      </w:pPr>
    </w:p>
    <w:p>
      <w:pPr>
        <w:ind w:right="80" w:firstLine="439"/>
        <w:spacing w:after="0" w:line="272" w:lineRule="auto"/>
        <w:rPr>
          <w:sz w:val="20"/>
          <w:szCs w:val="20"/>
          <w:color w:val="auto"/>
        </w:rPr>
      </w:pPr>
      <w:r>
        <w:rPr>
          <w:rFonts w:ascii="Arial" w:cs="Arial" w:eastAsia="Arial" w:hAnsi="Arial"/>
          <w:sz w:val="17"/>
          <w:szCs w:val="17"/>
          <w:color w:val="auto"/>
        </w:rPr>
        <w:t>In December 2024, we entered into an amendment to the March 2024 Sales Agreement with Jefferies to provide for the offering, issuance, and sale of up to an aggregate amount of $250.0 million of common stock from time to time in at-the-market offerings. During the year ended December 31, 2025, we issued and sold an aggregate of 1,351,689 shares under the amended March 2024 Sales Agreement for aggregate net proceeds of $83.3 million, after deducting commissions and offering expenses payable by us. During the year ended December 31, 2024, we issued and sold an aggregate of 16,487 shares under the amended March 2024 Sales Agreement for aggregate net</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proceeds of $1.0 million, after deducting commissions and offering expenses payable by us. The amended 2024 Sales Agreement was terminated in September 2025.</w:t>
      </w:r>
    </w:p>
    <w:p>
      <w:pPr>
        <w:spacing w:after="0" w:line="163"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In September 2025, we entered into a Sales Agreement, or the 2025 Sales Agreement, with TD Securities (USA) LLC, or TD Cowen, to provide for the offering, issuance and sale of up to an aggregate of $250.0 million of common stock from time to time in at-the-market offerings. During the year ended December 31, 2025, we issued and sold an aggregate of 403,947 shares under the 2025 Sales Agreement for aggregate net proceeds of $40.5 million, after deducting commissions and offering expenses payable by us.</w:t>
      </w:r>
    </w:p>
    <w:p>
      <w:pPr>
        <w:spacing w:after="0" w:line="182"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In October 2025, we completed a public offering of: (i) an aggregate of 3,527,072 shares of our common stock at a public offering price of $157.00 per share, including the underwriters' full exercise of their option to purchase 501,592 additional shares of common stock, and (ii) pre-funded warrants to purchase 318,470 shares of common stock at a public offering price of $156.9999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$567.1 million, after deducting underwriting discounts, commissions, and other offering expenses payable by us. As of December 31, 2025, none of the pre-funded warrants have been exercised and all remained outstanding.</w:t>
      </w:r>
    </w:p>
    <w:p>
      <w:pPr>
        <w:spacing w:after="0" w:line="189"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In January 2026, we completed a public offering of 2,543,800 shares of our common stock at a public offering price of $260.00 per share, including the underwriters' full exercise of their option to purchase 331,800 additional shares of common stock. Total net proceeds generated from the offering were approximately $621.2 million, after deducting underwriting discounts, commissions and other offering expenses payable by us.</w:t>
      </w:r>
    </w:p>
    <w:p>
      <w:pPr>
        <w:spacing w:after="0" w:line="182"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As of December 31, 2025, we had cash, cash equivalents and marketable securities of $926.1 million. We expect that our cash, cash equivalents, and marketable securities as of December 31, 2025, combined with proceeds from our January 2026 follow on public offering, will be sufficient to fund our operating expenditures and capital expenditure requirements necessary to advance our operating activities into 2028. The analysis included consideration of our current financial needs and ongoing research and development and commercialization plans. We have based this estimate on assumptions that may provide to be wrong, and we could exhaust our available capital resources sooner than we expect. See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2" w:lineRule="exact"/>
        <w:rPr>
          <w:sz w:val="20"/>
          <w:szCs w:val="20"/>
          <w:color w:val="auto"/>
        </w:rPr>
      </w:pPr>
    </w:p>
    <w:p>
      <w:pPr>
        <w:ind w:right="160" w:firstLine="439"/>
        <w:spacing w:after="0" w:line="252" w:lineRule="auto"/>
        <w:rPr>
          <w:sz w:val="20"/>
          <w:szCs w:val="20"/>
          <w:color w:val="auto"/>
        </w:rPr>
      </w:pPr>
      <w:r>
        <w:rPr>
          <w:rFonts w:ascii="Arial" w:cs="Arial" w:eastAsia="Arial" w:hAnsi="Arial"/>
          <w:sz w:val="18"/>
          <w:szCs w:val="18"/>
          <w:color w:val="auto"/>
        </w:rPr>
        <w:t>We have not generated any revenue from the sale of products since inception and do not expect to generate any revenue from the sale of products for several years, if at all. As discussed in Note 8 to our audited consolidated financial statements, we entered into an Option and License Agreement, or the Collaboration Agreement, with UCB Biopharma SRL, or UCB, in December 2022. We recognized $8.6 million of collaboration revenue from the Collaboration Agreement during the year ended December 31, 2024. In December 2024, UCB exercised its option to in-license global development and commercialization rights under the terms of the Collaboration Agreement. We did not recognize any collaboration revenue from the Collaboration Agreement during the year ended December 31,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0" w:lineRule="exact"/>
        <w:rPr>
          <w:sz w:val="20"/>
          <w:szCs w:val="20"/>
          <w:color w:val="auto"/>
        </w:rPr>
      </w:pPr>
    </w:p>
    <w:p>
      <w:pPr>
        <w:ind w:left="640" w:hanging="314"/>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to develop our portfolio;</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65" w:lineRule="exact"/>
        <w:rPr>
          <w:rFonts w:ascii="Arial" w:cs="Arial" w:eastAsia="Arial" w:hAnsi="Arial"/>
          <w:sz w:val="18"/>
          <w:szCs w:val="18"/>
          <w:color w:val="auto"/>
        </w:rPr>
      </w:pPr>
    </w:p>
    <w:p>
      <w:pPr>
        <w:ind w:left="440" w:right="5420" w:hanging="114"/>
        <w:spacing w:after="0" w:line="432"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40" w:hanging="314"/>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right="60" w:hanging="314"/>
        <w:spacing w:after="0" w:line="276"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65" w:lineRule="exact"/>
        <w:rPr>
          <w:rFonts w:ascii="Arial" w:cs="Arial" w:eastAsia="Arial" w:hAnsi="Arial"/>
          <w:sz w:val="18"/>
          <w:szCs w:val="18"/>
          <w:color w:val="auto"/>
        </w:rPr>
      </w:pPr>
    </w:p>
    <w:p>
      <w:pPr>
        <w:ind w:left="640" w:right="200" w:hanging="314"/>
        <w:spacing w:after="0" w:line="276"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109" w:lineRule="exact"/>
        <w:rPr>
          <w:rFonts w:ascii="Arial" w:cs="Arial" w:eastAsia="Arial" w:hAnsi="Arial"/>
          <w:sz w:val="18"/>
          <w:szCs w:val="18"/>
          <w:color w:val="auto"/>
        </w:rPr>
      </w:pPr>
    </w:p>
    <w:p>
      <w:pPr>
        <w:ind w:left="640" w:right="500" w:hanging="314"/>
        <w:spacing w:after="0" w:line="276"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163" w:lineRule="exact"/>
        <w:rPr>
          <w:sz w:val="20"/>
          <w:szCs w:val="20"/>
          <w:color w:val="auto"/>
        </w:rPr>
      </w:pPr>
    </w:p>
    <w:p>
      <w:pPr>
        <w:ind w:right="40" w:firstLine="439"/>
        <w:spacing w:after="0" w:line="270"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71" w:lineRule="exact"/>
        <w:rPr>
          <w:sz w:val="20"/>
          <w:szCs w:val="20"/>
          <w:color w:val="auto"/>
        </w:rPr>
      </w:pPr>
    </w:p>
    <w:p>
      <w:pPr>
        <w:ind w:right="220" w:firstLine="439"/>
        <w:spacing w:after="0" w:line="254"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83" w:lineRule="exact"/>
        <w:rPr>
          <w:sz w:val="20"/>
          <w:szCs w:val="20"/>
          <w:color w:val="auto"/>
        </w:rPr>
      </w:pPr>
    </w:p>
    <w:p>
      <w:pPr>
        <w:ind w:right="200" w:firstLine="439"/>
        <w:spacing w:after="0" w:line="276"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the periods presented below (in thousands):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rPr>
              <w:t>Year Ended December 31,</w:t>
            </w:r>
          </w:p>
        </w:tc>
      </w:tr>
      <w:tr>
        <w:trPr>
          <w:trHeight w:val="206"/>
        </w:trPr>
        <w:tc>
          <w:tcPr>
            <w:tcW w:w="79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r>
      <w:tr>
        <w:trPr>
          <w:trHeight w:val="20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185,497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93,591</w:t>
            </w:r>
          </w:p>
        </w:tc>
      </w:tr>
      <w:tr>
        <w:trPr>
          <w:trHeight w:val="212"/>
        </w:trPr>
        <w:tc>
          <w:tcPr>
            <w:tcW w:w="7980" w:type="dxa"/>
            <w:vAlign w:val="bottom"/>
          </w:tcPr>
          <w:p>
            <w:pPr>
              <w:ind w:left="20"/>
              <w:spacing w:after="0"/>
              <w:rPr>
                <w:sz w:val="20"/>
                <w:szCs w:val="20"/>
                <w:color w:val="auto"/>
              </w:rPr>
            </w:pPr>
            <w:r>
              <w:rPr>
                <w:rFonts w:ascii="Arial" w:cs="Arial" w:eastAsia="Arial" w:hAnsi="Arial"/>
                <w:sz w:val="16"/>
                <w:szCs w:val="16"/>
                <w:color w:val="auto"/>
              </w:rPr>
              <w:t>Solidus™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5,738</w:t>
            </w:r>
          </w:p>
        </w:tc>
      </w:tr>
      <w:tr>
        <w:trPr>
          <w:trHeight w:val="214"/>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43,407</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9,677</w:t>
            </w:r>
          </w:p>
        </w:tc>
      </w:tr>
      <w:tr>
        <w:trPr>
          <w:trHeight w:val="23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152,413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83"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29" w:lineRule="exact"/>
        <w:rPr>
          <w:sz w:val="20"/>
          <w:szCs w:val="20"/>
          <w:color w:val="auto"/>
        </w:rPr>
      </w:pPr>
    </w:p>
    <w:p>
      <w:pPr>
        <w:ind w:left="640" w:hanging="314"/>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65" w:lineRule="exact"/>
        <w:rPr>
          <w:rFonts w:ascii="Arial" w:cs="Arial" w:eastAsia="Arial" w:hAnsi="Arial"/>
          <w:sz w:val="18"/>
          <w:szCs w:val="18"/>
          <w:color w:val="auto"/>
        </w:rPr>
      </w:pPr>
    </w:p>
    <w:p>
      <w:pPr>
        <w:ind w:left="640" w:right="420" w:hanging="314"/>
        <w:spacing w:after="0" w:line="276"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hanging="314"/>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associated with the development of any additional product candidates we identify in-house or acquire through collaborations;</w:t>
      </w:r>
    </w:p>
    <w:p>
      <w:pPr>
        <w:spacing w:after="0" w:line="177" w:lineRule="exact"/>
        <w:rPr>
          <w:rFonts w:ascii="Arial" w:cs="Arial" w:eastAsia="Arial" w:hAnsi="Arial"/>
          <w:sz w:val="17"/>
          <w:szCs w:val="17"/>
          <w:color w:val="auto"/>
        </w:rPr>
      </w:pPr>
    </w:p>
    <w:p>
      <w:pPr>
        <w:ind w:left="640" w:right="420" w:hanging="314"/>
        <w:spacing w:after="0" w:line="276"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109" w:lineRule="exact"/>
        <w:rPr>
          <w:rFonts w:ascii="Arial" w:cs="Arial" w:eastAsia="Arial" w:hAnsi="Arial"/>
          <w:sz w:val="18"/>
          <w:szCs w:val="18"/>
          <w:color w:val="auto"/>
        </w:rPr>
      </w:pPr>
    </w:p>
    <w:p>
      <w:pPr>
        <w:ind w:left="640" w:right="180" w:hanging="314"/>
        <w:spacing w:after="0" w:line="276"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109" w:lineRule="exact"/>
        <w:rPr>
          <w:rFonts w:ascii="Arial" w:cs="Arial" w:eastAsia="Arial" w:hAnsi="Arial"/>
          <w:sz w:val="18"/>
          <w:szCs w:val="18"/>
          <w:color w:val="auto"/>
        </w:rPr>
      </w:pPr>
    </w:p>
    <w:p>
      <w:pPr>
        <w:ind w:left="640" w:right="420" w:hanging="314"/>
        <w:spacing w:after="0" w:line="276"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09" w:lineRule="exact"/>
        <w:rPr>
          <w:rFonts w:ascii="Arial" w:cs="Arial" w:eastAsia="Arial" w:hAnsi="Arial"/>
          <w:sz w:val="18"/>
          <w:szCs w:val="18"/>
          <w:color w:val="auto"/>
        </w:rPr>
      </w:pPr>
    </w:p>
    <w:p>
      <w:pPr>
        <w:ind w:left="640" w:right="280" w:hanging="314"/>
        <w:spacing w:after="0" w:line="276"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19"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2" w:lineRule="exact"/>
        <w:rPr>
          <w:sz w:val="20"/>
          <w:szCs w:val="20"/>
          <w:color w:val="auto"/>
        </w:rPr>
      </w:pPr>
    </w:p>
    <w:p>
      <w:pPr>
        <w:ind w:right="80" w:firstLine="439"/>
        <w:spacing w:after="0" w:line="251"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85"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2" w:lineRule="exact"/>
        <w:rPr>
          <w:sz w:val="20"/>
          <w:szCs w:val="20"/>
          <w:color w:val="auto"/>
        </w:rPr>
      </w:pPr>
    </w:p>
    <w:p>
      <w:pPr>
        <w:ind w:right="160" w:firstLine="439"/>
        <w:spacing w:after="0" w:line="276"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ind w:right="120" w:firstLine="439"/>
        <w:spacing w:after="0" w:line="261"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and orphan drug tax credits, due to our uncertainty of realizing a benefit from those items. As of December 31, 2025 and 2024, we had U.S. federal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state net operating loss carryforwards which may be available to offset future taxable income and which begin to expire in 2031. As of December 31, 2025 and 2024, we also had federal and state research and development tax credit and orphan drug tax credit carryforwards which may be available to offset future income tax liabilities and which begin to expire in 2032.</w:t>
      </w:r>
    </w:p>
    <w:p>
      <w:pPr>
        <w:spacing w:after="0" w:line="177" w:lineRule="exact"/>
        <w:rPr>
          <w:sz w:val="20"/>
          <w:szCs w:val="20"/>
          <w:color w:val="auto"/>
        </w:rPr>
      </w:pPr>
    </w:p>
    <w:p>
      <w:pPr>
        <w:ind w:right="80" w:firstLine="439"/>
        <w:spacing w:after="0" w:line="261" w:lineRule="auto"/>
        <w:rPr>
          <w:sz w:val="20"/>
          <w:szCs w:val="20"/>
          <w:color w:val="auto"/>
        </w:rPr>
      </w:pPr>
      <w:r>
        <w:rPr>
          <w:rFonts w:ascii="Arial" w:cs="Arial" w:eastAsia="Arial" w:hAnsi="Arial"/>
          <w:sz w:val="18"/>
          <w:szCs w:val="18"/>
          <w:color w:val="auto"/>
        </w:rPr>
        <w:t>Income taxes are determined at the applicable tax rates adjusted for non-deductible expenses, research and development tax credits, orphan drug tax credits, and other permanent differences. Our income tax provision may be significantly affected by changes to our estimates. The income tax provision recognized for the years ended December 31, 2025 and 2024 was not material.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statements of operations for the periods presented below (in thousands):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1180" w:type="dxa"/>
            <w:vAlign w:val="bottom"/>
          </w:tcPr>
          <w:p>
            <w:pPr>
              <w:jc w:val="right"/>
              <w:ind w:right="340"/>
              <w:spacing w:after="0"/>
              <w:rPr>
                <w:sz w:val="20"/>
                <w:szCs w:val="20"/>
                <w:color w:val="auto"/>
              </w:rPr>
            </w:pPr>
            <w:r>
              <w:rPr>
                <w:rFonts w:ascii="Arial" w:cs="Arial" w:eastAsia="Arial" w:hAnsi="Arial"/>
                <w:sz w:val="16"/>
                <w:szCs w:val="16"/>
                <w:b w:val="1"/>
                <w:bCs w:val="1"/>
                <w:color w:val="auto"/>
              </w:rPr>
              <w:t>Change</w:t>
            </w:r>
          </w:p>
        </w:tc>
      </w:tr>
      <w:tr>
        <w:trPr>
          <w:trHeight w:val="206"/>
        </w:trPr>
        <w:tc>
          <w:tcPr>
            <w:tcW w:w="67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CCEEFF"/>
            </w:tcBorders>
          </w:tcPr>
          <w:p>
            <w:pPr>
              <w:spacing w:after="0"/>
              <w:rPr>
                <w:sz w:val="17"/>
                <w:szCs w:val="17"/>
                <w:color w:val="auto"/>
              </w:rPr>
            </w:pPr>
          </w:p>
        </w:tc>
      </w:tr>
      <w:tr>
        <w:trPr>
          <w:trHeight w:val="20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w:t>
            </w: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114,702</w:t>
            </w:r>
          </w:p>
        </w:tc>
      </w:tr>
      <w:tr>
        <w:trPr>
          <w:trHeight w:val="212"/>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59,083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w:t>
            </w:r>
          </w:p>
        </w:tc>
      </w:tr>
      <w:tr>
        <w:trPr>
          <w:trHeight w:val="208"/>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326,198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117,480</w:t>
            </w:r>
          </w:p>
        </w:tc>
      </w:tr>
      <w:tr>
        <w:trPr>
          <w:trHeight w:val="205"/>
        </w:trPr>
        <w:tc>
          <w:tcPr>
            <w:tcW w:w="67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(326,198)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(200,165)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(126,033)</w:t>
            </w: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2"/>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5,584</w:t>
            </w:r>
          </w:p>
        </w:tc>
      </w:tr>
      <w:tr>
        <w:trPr>
          <w:trHeight w:val="206"/>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other income</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5,584</w:t>
            </w:r>
          </w:p>
        </w:tc>
      </w:tr>
      <w:tr>
        <w:trPr>
          <w:trHeight w:val="208"/>
        </w:trPr>
        <w:tc>
          <w:tcPr>
            <w:tcW w:w="6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(303,268)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(182,819)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(120,449)</w:t>
            </w: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2"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The $8.6 million decrease in collaboration revenue is associated with a decrease in revenue recorded under the Collaboration Agreement with UCB that was executed in December 2022. In December 2024, UCB exercised its option to in-license global development and commercialization rights for a development candidate as part of the Collaboration Agreement. As such, we have no further research service obligations under the terms of the Collaboration Agreement and did not record any associated revenue during the year ended December 31,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2" w:lineRule="exact"/>
        <w:rPr>
          <w:sz w:val="20"/>
          <w:szCs w:val="20"/>
          <w:color w:val="auto"/>
        </w:rPr>
      </w:pPr>
    </w:p>
    <w:p>
      <w:pPr>
        <w:ind w:right="400" w:firstLine="439"/>
        <w:spacing w:after="0" w:line="276" w:lineRule="auto"/>
        <w:rPr>
          <w:sz w:val="20"/>
          <w:szCs w:val="20"/>
          <w:color w:val="auto"/>
        </w:rPr>
      </w:pPr>
      <w:r>
        <w:rPr>
          <w:rFonts w:ascii="Arial" w:cs="Arial" w:eastAsia="Arial" w:hAnsi="Arial"/>
          <w:sz w:val="18"/>
          <w:szCs w:val="18"/>
          <w:color w:val="auto"/>
        </w:rPr>
        <w:t>The following table summarizes our research and development expenses for the periods presented below, along with the changes in those items (in thousands):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1180" w:type="dxa"/>
            <w:vAlign w:val="bottom"/>
          </w:tcPr>
          <w:p>
            <w:pPr>
              <w:jc w:val="right"/>
              <w:ind w:right="340"/>
              <w:spacing w:after="0"/>
              <w:rPr>
                <w:sz w:val="20"/>
                <w:szCs w:val="20"/>
                <w:color w:val="auto"/>
              </w:rPr>
            </w:pPr>
            <w:r>
              <w:rPr>
                <w:rFonts w:ascii="Arial" w:cs="Arial" w:eastAsia="Arial" w:hAnsi="Arial"/>
                <w:sz w:val="16"/>
                <w:szCs w:val="16"/>
                <w:b w:val="1"/>
                <w:bCs w:val="1"/>
                <w:color w:val="auto"/>
              </w:rPr>
              <w:t>Change</w:t>
            </w:r>
          </w:p>
        </w:tc>
      </w:tr>
      <w:tr>
        <w:trPr>
          <w:trHeight w:val="206"/>
        </w:trPr>
        <w:tc>
          <w:tcPr>
            <w:tcW w:w="67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CCEEFF"/>
            </w:tcBorders>
          </w:tcPr>
          <w:p>
            <w:pPr>
              <w:spacing w:after="0"/>
              <w:rPr>
                <w:sz w:val="17"/>
                <w:szCs w:val="17"/>
                <w:color w:val="auto"/>
              </w:rPr>
            </w:pPr>
          </w:p>
        </w:tc>
      </w:tr>
      <w:tr>
        <w:trPr>
          <w:trHeight w:val="20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91,906</w:t>
            </w: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58,684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43,407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15,277</w:t>
            </w: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Solidus™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r>
      <w:tr>
        <w:trPr>
          <w:trHeight w:val="21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2,515</w:t>
            </w: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267,115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$114.7 million increase in research and development expenses was primarily attributable to the following:</w:t>
      </w:r>
    </w:p>
    <w:p>
      <w:pPr>
        <w:spacing w:after="0" w:line="166" w:lineRule="exact"/>
        <w:rPr>
          <w:sz w:val="20"/>
          <w:szCs w:val="20"/>
          <w:color w:val="auto"/>
        </w:rPr>
      </w:pPr>
    </w:p>
    <w:p>
      <w:pPr>
        <w:ind w:left="640" w:hanging="314"/>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$91.9 million increase in expense related to our Cerebrum™ platform, driven primarily by:</w:t>
      </w:r>
    </w:p>
    <w:p>
      <w:pPr>
        <w:spacing w:after="0" w:line="165" w:lineRule="exact"/>
        <w:rPr>
          <w:rFonts w:ascii="Arial" w:cs="Arial" w:eastAsia="Arial" w:hAnsi="Arial"/>
          <w:sz w:val="18"/>
          <w:szCs w:val="18"/>
          <w:color w:val="auto"/>
        </w:rPr>
      </w:pPr>
    </w:p>
    <w:p>
      <w:pPr>
        <w:ind w:left="1280" w:right="640" w:hanging="315"/>
        <w:spacing w:after="0" w:line="276" w:lineRule="auto"/>
        <w:tabs>
          <w:tab w:leader="none" w:pos="12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$55.8 million increase in spend for our vormatrigine program, primarily driven by increased spend across our ENERGY program clinical studies and Phase 1 study spend;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right="380" w:hanging="315"/>
        <w:spacing w:after="0" w:line="276" w:lineRule="auto"/>
        <w:tabs>
          <w:tab w:leader="none" w:pos="12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$38.9 million increase in spend for our relutrigine program, primarily related to our EMBOLD and EMERALD trial activities, manufacturing spend to support commercialization and Phase 1 study spend;</w:t>
      </w:r>
    </w:p>
    <w:p>
      <w:pPr>
        <w:spacing w:after="0" w:line="109" w:lineRule="exact"/>
        <w:rPr>
          <w:rFonts w:ascii="Arial" w:cs="Arial" w:eastAsia="Arial" w:hAnsi="Arial"/>
          <w:sz w:val="18"/>
          <w:szCs w:val="18"/>
          <w:color w:val="auto"/>
        </w:rPr>
      </w:pPr>
    </w:p>
    <w:p>
      <w:pPr>
        <w:ind w:left="1280" w:hanging="315"/>
        <w:spacing w:after="0"/>
        <w:tabs>
          <w:tab w:leader="none" w:pos="12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$3.2 million increase in activities for our earlier stage assets as we advance our portfolio; partially offset by,</w:t>
      </w:r>
    </w:p>
    <w:p>
      <w:pPr>
        <w:spacing w:after="0" w:line="165" w:lineRule="exact"/>
        <w:rPr>
          <w:rFonts w:ascii="Arial" w:cs="Arial" w:eastAsia="Arial" w:hAnsi="Arial"/>
          <w:sz w:val="18"/>
          <w:szCs w:val="18"/>
          <w:color w:val="auto"/>
        </w:rPr>
      </w:pPr>
    </w:p>
    <w:p>
      <w:pPr>
        <w:ind w:left="1280" w:right="20" w:hanging="315"/>
        <w:spacing w:after="0" w:line="276" w:lineRule="auto"/>
        <w:tabs>
          <w:tab w:leader="none" w:pos="12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$6.0 million decrease in spend for our ulixacaltamide program, primarily due to multiple Phase 1 studies completing in the prior year, partially offset by current year Essential3 spend and manufacturing spend to support commercialization;</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$15.3 million increase in personnel-related costs due to increased headcount; and</w:t>
      </w:r>
    </w:p>
    <w:p>
      <w:pPr>
        <w:spacing w:after="0" w:line="165" w:lineRule="exact"/>
        <w:rPr>
          <w:rFonts w:ascii="Arial" w:cs="Arial" w:eastAsia="Arial" w:hAnsi="Arial"/>
          <w:sz w:val="18"/>
          <w:szCs w:val="18"/>
          <w:color w:val="auto"/>
        </w:rPr>
      </w:pPr>
    </w:p>
    <w:p>
      <w:pPr>
        <w:ind w:left="640" w:right="200" w:hanging="314"/>
        <w:spacing w:after="0" w:line="276"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$5.0 million increase in expense related to our Solidus™ platform, driven by elsunersen program spend for EMBRAVE Part A clinical trial and our EMBRAVE3 pivotal clinical trial.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2" w:lineRule="exact"/>
        <w:rPr>
          <w:sz w:val="20"/>
          <w:szCs w:val="20"/>
          <w:color w:val="auto"/>
        </w:rPr>
      </w:pPr>
    </w:p>
    <w:p>
      <w:pPr>
        <w:ind w:firstLine="439"/>
        <w:spacing w:after="0" w:line="276" w:lineRule="auto"/>
        <w:rPr>
          <w:sz w:val="20"/>
          <w:szCs w:val="20"/>
          <w:color w:val="auto"/>
        </w:rPr>
      </w:pPr>
      <w:r>
        <w:rPr>
          <w:rFonts w:ascii="Arial" w:cs="Arial" w:eastAsia="Arial" w:hAnsi="Arial"/>
          <w:sz w:val="18"/>
          <w:szCs w:val="18"/>
          <w:color w:val="auto"/>
        </w:rPr>
        <w:t>The $2.8 million increase in general and administrative expenses was primarily attributable to increased professional fees and software to support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2" w:lineRule="exact"/>
        <w:rPr>
          <w:sz w:val="20"/>
          <w:szCs w:val="20"/>
          <w:color w:val="auto"/>
        </w:rPr>
      </w:pPr>
    </w:p>
    <w:p>
      <w:pPr>
        <w:ind w:right="60" w:firstLine="399"/>
        <w:spacing w:after="0" w:line="276" w:lineRule="auto"/>
        <w:rPr>
          <w:sz w:val="20"/>
          <w:szCs w:val="20"/>
          <w:color w:val="auto"/>
        </w:rPr>
      </w:pPr>
      <w:r>
        <w:rPr>
          <w:rFonts w:ascii="Arial" w:cs="Arial" w:eastAsia="Arial" w:hAnsi="Arial"/>
          <w:sz w:val="18"/>
          <w:szCs w:val="18"/>
          <w:color w:val="auto"/>
        </w:rPr>
        <w:t>The $5.6 million increase in other income, net is primarily due to interest income on higher cash, cash equivalent and marketable security balances.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2024 and 2023</w:t>
      </w:r>
    </w:p>
    <w:p>
      <w:pPr>
        <w:spacing w:after="0" w:line="112" w:lineRule="exact"/>
        <w:rPr>
          <w:sz w:val="20"/>
          <w:szCs w:val="20"/>
          <w:color w:val="auto"/>
        </w:rPr>
      </w:pPr>
    </w:p>
    <w:p>
      <w:pPr>
        <w:ind w:right="720" w:firstLine="439"/>
        <w:spacing w:after="0" w:line="276" w:lineRule="auto"/>
        <w:rPr>
          <w:sz w:val="20"/>
          <w:szCs w:val="20"/>
          <w:color w:val="auto"/>
        </w:rPr>
      </w:pPr>
      <w:r>
        <w:rPr>
          <w:rFonts w:ascii="Arial" w:cs="Arial" w:eastAsia="Arial" w:hAnsi="Arial"/>
          <w:sz w:val="18"/>
          <w:szCs w:val="18"/>
          <w:color w:val="auto"/>
        </w:rPr>
        <w:t>For a discussion of our results of operations pertaining to 2024 and 2023 see Item 7, "Management's Discussion and Analysis of Financial Condition and results of Operations" in our Annual Report on Form 10-K for the year ended December 31, 2024.</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2" w:lineRule="exact"/>
        <w:rPr>
          <w:sz w:val="20"/>
          <w:szCs w:val="20"/>
          <w:color w:val="auto"/>
        </w:rPr>
      </w:pPr>
    </w:p>
    <w:p>
      <w:pPr>
        <w:ind w:right="160" w:firstLine="439"/>
        <w:spacing w:after="0" w:line="261"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or awaiting regulatory review, and we may not generate meaningful revenue from product sales in the near term, if at all.</w:t>
      </w:r>
    </w:p>
    <w:p>
      <w:pPr>
        <w:spacing w:after="0" w:line="177"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 registration statement. From inception through December 31, 2025, we have raised $1.8 billion in aggregate cash proceeds from such transactions, net of issuance costs. As of December 31, 2025, we had cash, cash equivalents, and marketable securities of $926.1 million.</w:t>
      </w:r>
    </w:p>
    <w:p>
      <w:pPr>
        <w:spacing w:after="0" w:line="183" w:lineRule="exact"/>
        <w:rPr>
          <w:sz w:val="20"/>
          <w:szCs w:val="20"/>
          <w:color w:val="auto"/>
        </w:rPr>
      </w:pPr>
    </w:p>
    <w:p>
      <w:pPr>
        <w:ind w:right="300" w:firstLine="439"/>
        <w:spacing w:after="0" w:line="254" w:lineRule="auto"/>
        <w:rPr>
          <w:sz w:val="20"/>
          <w:szCs w:val="20"/>
          <w:color w:val="auto"/>
        </w:rPr>
      </w:pPr>
      <w:r>
        <w:rPr>
          <w:rFonts w:ascii="Arial" w:cs="Arial" w:eastAsia="Arial" w:hAnsi="Arial"/>
          <w:sz w:val="18"/>
          <w:szCs w:val="18"/>
          <w:color w:val="auto"/>
        </w:rPr>
        <w:t>In December 2023, we entered into an Open Market Sale Agreement, or the 2023 Sales Agreement, with Jefferies, to provide for the offering, issuance and sale of up to an aggregate amount of $75.0 million of common stock from time to time in at-the-market offerings. The 2023 Sales Agreement was terminated in January 2024. During the year ended December 31, 2024, we issued and sold an aggregate of 192,190 shares under the 2023 Sales Agreement for aggregate net proceeds of $5.3 million, after deducting commissions and offering expenses payable by us.</w:t>
      </w:r>
    </w:p>
    <w:p>
      <w:pPr>
        <w:spacing w:after="0" w:line="183"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In January 2024, we completed a public offering of: (i) an aggregate of 3,802,025 shares of our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us. During the year ended December 31, 2024, 152,145 pre-funded warrants were exercised via 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cashless exercise, resulting in 152,142 shares of common stock issued. No cash proceeds associated with the exercise were received by us. During the year ended December 31, 2025, 200,355 pre-funded warrants were exercised via cashless exercise, resulting in 200,349 shares of common stock issued. No cash proceeds associated with the exercise were received by us. As of December 31, 2025, a total of 704,225 pre-funded warrants associated with this offering remained outstanding.</w:t>
      </w:r>
    </w:p>
    <w:p>
      <w:pPr>
        <w:spacing w:after="0" w:line="182"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In March 2024, we entered into an Open Market Sale Agreement, or the March 2024 Sales Agreement, with Jefferies, to provide for the offering, issuance, and sale of up to an aggregate amount of $150.0 million of common stock from time to time in at-the-market offerings. During the year ended December 31, 2024, we issued and sold an aggregate of 1,614,975 shares under the March 2024 Sales Agreement for aggregate net proceeds of $113.1 million, after deducting commissions and offering expenses payable by us.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April 2024, we completed a public offering of: (i) an aggregate of 3,849,558 shares of our common stock at a public offering price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$56.50 per share, including the underwriters' full exercise of their option to purchase 530,973 additional shares of common stock, and (ii) pre-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funded warrants to purchase 221,238 shares of common stock at a public offering price of $56.4999 per share of common stock underlying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warrants. The purchase price per share for each pre-funded warrant represents the per share offering price for the common stock, less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$0.0001 per share exercise price of each underlying share. Total net proceeds generated from the offering were approximately $216.0 million,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after deducting underwriting discounts, commissions and other offering expenses payable by us. As of December 31, 2025, none of the pre-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funded warrants have been exercised and all remained outstanding.</w:t>
      </w:r>
    </w:p>
    <w:p>
      <w:pPr>
        <w:spacing w:after="0" w:line="203"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In December 2024, we entered into an amendment to the March 2024 Sales Agreement with Jefferies to provide for the offering, issuance, and sale of up to an aggregate amount of $250.0 million of common stock from time to time in at-the-market offerings. During the year ended December 31, 2025, we issued and sold an aggregate of 1,351,689 shares under the amended March 2024 Sales Agreement for aggregate net proceeds of $83.3 million, after deducting commissions and offering expenses payable by us. During the year ended December 31, 2024, we issued and sold an aggregate of 16,487 shares under the amended March 2024 Sales Agreement for aggregate net proceeds of $1.0 million, after deducting commissions and offering expenses payable by us. The amended 2024 Sales Agreement was terminated in September 2025.</w:t>
      </w:r>
    </w:p>
    <w:p>
      <w:pPr>
        <w:spacing w:after="0" w:line="189"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In September 2025, we entered into a Sales Agreement, or the 2025 Sales Agreement, with TD Securities (USA) LLC, or TD Cowen, to provide for the offering, issuance and sale of up to an aggregate of $250.0 million of common stock from time to time in at-the-market offerings. During the year ended December 31, 2025, we issued and sold an aggregate of 403,947 shares under the 2025 Sales Agreement for aggregate net proceeds of $40.5 million, after deducting commissions and offering expenses payable by us.</w:t>
      </w:r>
    </w:p>
    <w:p>
      <w:pPr>
        <w:spacing w:after="0" w:line="182"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In October 2025, we completed a public offering of: (i) an aggregate of 3,527,072 shares of our common stock at a public offering price of $157.00 per share, including the underwriters' full exercise of their option to purchase 501,592 additional shares of common stock, and (ii) pre-funded warrants to purchase 318,470 shares of common stock at a public offering price of $156.9999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$567.1 million, after deducting underwriting discounts, commissions, and other offering expenses payable by us. As of December 31, 2025, none of the pre-funded warrants have been exercised and all remained outstanding.</w:t>
      </w:r>
    </w:p>
    <w:p>
      <w:pPr>
        <w:spacing w:after="0" w:line="189"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In January 2026, we completed a public offering of 2,543,800 shares of our common stock at a public offering price of $260.00 per share, including the underwriters' full exercise of their option to purchase 331,800 additional shares of common stock. Total net proceeds generated from the offering were approximately $621.2 million, after deducting underwriting discounts, commissions and other offering expenses payable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regarding our cash flows for the periods presented below (in thousands):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rPr>
              <w:t>Year Ended December 31,</w:t>
            </w:r>
          </w:p>
        </w:tc>
      </w:tr>
      <w:tr>
        <w:trPr>
          <w:trHeight w:val="206"/>
        </w:trPr>
        <w:tc>
          <w:tcPr>
            <w:tcW w:w="78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r>
      <w:tr>
        <w:trPr>
          <w:trHeight w:val="19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78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420"/>
              <w:spacing w:after="0"/>
              <w:rPr>
                <w:sz w:val="20"/>
                <w:szCs w:val="20"/>
                <w:color w:val="auto"/>
              </w:rPr>
            </w:pPr>
            <w:r>
              <w:rPr>
                <w:rFonts w:ascii="Arial" w:cs="Arial" w:eastAsia="Arial" w:hAnsi="Arial"/>
                <w:sz w:val="16"/>
                <w:szCs w:val="16"/>
                <w:color w:val="auto"/>
                <w:w w:val="99"/>
              </w:rPr>
              <w:t>(249,068)</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360"/>
              <w:spacing w:after="0"/>
              <w:rPr>
                <w:sz w:val="20"/>
                <w:szCs w:val="20"/>
                <w:color w:val="auto"/>
              </w:rPr>
            </w:pPr>
            <w:r>
              <w:rPr>
                <w:rFonts w:ascii="Arial" w:cs="Arial" w:eastAsia="Arial" w:hAnsi="Arial"/>
                <w:sz w:val="16"/>
                <w:szCs w:val="16"/>
                <w:color w:val="auto"/>
                <w:w w:val="99"/>
              </w:rPr>
              <w:t>(131,757)</w:t>
            </w:r>
          </w:p>
        </w:tc>
      </w:tr>
      <w:tr>
        <w:trPr>
          <w:trHeight w:val="214"/>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9"/>
              </w:rPr>
              <w:t>(311,148)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360"/>
              <w:spacing w:after="0"/>
              <w:rPr>
                <w:sz w:val="20"/>
                <w:szCs w:val="20"/>
                <w:color w:val="auto"/>
              </w:rPr>
            </w:pPr>
            <w:r>
              <w:rPr>
                <w:rFonts w:ascii="Arial" w:cs="Arial" w:eastAsia="Arial" w:hAnsi="Arial"/>
                <w:sz w:val="16"/>
                <w:szCs w:val="16"/>
                <w:color w:val="auto"/>
                <w:w w:val="99"/>
              </w:rPr>
              <w:t>(248,494)</w:t>
            </w:r>
          </w:p>
        </w:tc>
      </w:tr>
      <w:tr>
        <w:trPr>
          <w:trHeight w:val="21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440"/>
              <w:spacing w:after="0"/>
              <w:rPr>
                <w:sz w:val="20"/>
                <w:szCs w:val="20"/>
                <w:color w:val="auto"/>
              </w:rPr>
            </w:pPr>
            <w:r>
              <w:rPr>
                <w:rFonts w:ascii="Arial" w:cs="Arial" w:eastAsia="Arial" w:hAnsi="Arial"/>
                <w:sz w:val="16"/>
                <w:szCs w:val="16"/>
                <w:color w:val="auto"/>
              </w:rPr>
              <w:t>702,173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380"/>
              <w:spacing w:after="0"/>
              <w:rPr>
                <w:sz w:val="20"/>
                <w:szCs w:val="20"/>
                <w:color w:val="auto"/>
              </w:rPr>
            </w:pPr>
            <w:r>
              <w:rPr>
                <w:rFonts w:ascii="Arial" w:cs="Arial" w:eastAsia="Arial" w:hAnsi="Arial"/>
                <w:sz w:val="16"/>
                <w:szCs w:val="16"/>
                <w:color w:val="auto"/>
              </w:rPr>
              <w:t>514,323</w:t>
            </w:r>
          </w:p>
        </w:tc>
      </w:tr>
      <w:tr>
        <w:trPr>
          <w:trHeight w:val="23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440"/>
              <w:spacing w:after="0"/>
              <w:rPr>
                <w:sz w:val="20"/>
                <w:szCs w:val="20"/>
                <w:color w:val="auto"/>
              </w:rPr>
            </w:pPr>
            <w:r>
              <w:rPr>
                <w:rFonts w:ascii="Arial" w:cs="Arial" w:eastAsia="Arial" w:hAnsi="Arial"/>
                <w:sz w:val="16"/>
                <w:szCs w:val="16"/>
                <w:color w:val="auto"/>
              </w:rPr>
              <w:t>141,957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380"/>
              <w:spacing w:after="0"/>
              <w:rPr>
                <w:sz w:val="20"/>
                <w:szCs w:val="20"/>
                <w:color w:val="auto"/>
              </w:rPr>
            </w:pPr>
            <w:r>
              <w:rPr>
                <w:rFonts w:ascii="Arial" w:cs="Arial" w:eastAsia="Arial" w:hAnsi="Arial"/>
                <w:sz w:val="16"/>
                <w:szCs w:val="16"/>
                <w:color w:val="auto"/>
              </w:rPr>
              <w:t>134,072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2"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the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w:t>
      </w:r>
    </w:p>
    <w:p>
      <w:pPr>
        <w:spacing w:after="0" w:line="182" w:lineRule="exact"/>
        <w:rPr>
          <w:sz w:val="20"/>
          <w:szCs w:val="20"/>
          <w:color w:val="auto"/>
        </w:rPr>
      </w:pPr>
    </w:p>
    <w:p>
      <w:pPr>
        <w:jc w:val="both"/>
        <w:ind w:right="40" w:firstLine="439"/>
        <w:spacing w:after="0" w:line="261" w:lineRule="auto"/>
        <w:rPr>
          <w:sz w:val="20"/>
          <w:szCs w:val="20"/>
          <w:color w:val="auto"/>
        </w:rPr>
      </w:pPr>
      <w:r>
        <w:rPr>
          <w:rFonts w:ascii="Arial" w:cs="Arial" w:eastAsia="Arial" w:hAnsi="Arial"/>
          <w:sz w:val="18"/>
          <w:szCs w:val="18"/>
          <w:color w:val="auto"/>
        </w:rPr>
        <w:t>During the year ended December 31, 2025, net cash used in operating activities of $249.1 million was primarily due to our $303.3 million net loss, partially offset by $22.7 million in changes in operating assets and liabilities primarily related to an increase in accrued expenses and accounts payable and $31.5 million of non-cash charges primarily related to stock-based compensation.</w:t>
      </w:r>
    </w:p>
    <w:p>
      <w:pPr>
        <w:spacing w:after="0" w:line="177" w:lineRule="exact"/>
        <w:rPr>
          <w:sz w:val="20"/>
          <w:szCs w:val="20"/>
          <w:color w:val="auto"/>
        </w:rPr>
      </w:pPr>
    </w:p>
    <w:p>
      <w:pPr>
        <w:jc w:val="both"/>
        <w:ind w:right="40" w:firstLine="439"/>
        <w:spacing w:after="0" w:line="261" w:lineRule="auto"/>
        <w:rPr>
          <w:sz w:val="20"/>
          <w:szCs w:val="20"/>
          <w:color w:val="auto"/>
        </w:rPr>
      </w:pPr>
      <w:r>
        <w:rPr>
          <w:rFonts w:ascii="Arial" w:cs="Arial" w:eastAsia="Arial" w:hAnsi="Arial"/>
          <w:sz w:val="18"/>
          <w:szCs w:val="18"/>
          <w:color w:val="auto"/>
        </w:rPr>
        <w:t>During the year ended December 31, 2024, net cash used in operating activities of $131.8 million was primarily due to our $182.8 million net loss, partially offset by $10.9 million in changes in operating assets and liabilities primarily related to an increase in accrued expenses and accounts payable and $40.1 million of non-cash charges primarily related to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2" w:lineRule="exact"/>
        <w:rPr>
          <w:sz w:val="20"/>
          <w:szCs w:val="20"/>
          <w:color w:val="auto"/>
        </w:rPr>
      </w:pPr>
    </w:p>
    <w:p>
      <w:pPr>
        <w:ind w:right="600" w:firstLine="439"/>
        <w:spacing w:after="0" w:line="276" w:lineRule="auto"/>
        <w:rPr>
          <w:sz w:val="20"/>
          <w:szCs w:val="20"/>
          <w:color w:val="auto"/>
        </w:rPr>
      </w:pPr>
      <w:r>
        <w:rPr>
          <w:rFonts w:ascii="Arial" w:cs="Arial" w:eastAsia="Arial" w:hAnsi="Arial"/>
          <w:sz w:val="18"/>
          <w:szCs w:val="18"/>
          <w:color w:val="auto"/>
        </w:rPr>
        <w:t>During the year ended December 31, 2025, net cash used in investing activities of $311.1 million primarily related to purchases of marketable securities, partially offset by maturities of marketable securities.</w:t>
      </w:r>
    </w:p>
    <w:p>
      <w:pPr>
        <w:spacing w:after="0" w:line="163" w:lineRule="exact"/>
        <w:rPr>
          <w:sz w:val="20"/>
          <w:szCs w:val="20"/>
          <w:color w:val="auto"/>
        </w:rPr>
      </w:pPr>
    </w:p>
    <w:p>
      <w:pPr>
        <w:ind w:right="580" w:firstLine="439"/>
        <w:spacing w:after="0" w:line="276" w:lineRule="auto"/>
        <w:rPr>
          <w:sz w:val="20"/>
          <w:szCs w:val="20"/>
          <w:color w:val="auto"/>
        </w:rPr>
      </w:pPr>
      <w:r>
        <w:rPr>
          <w:rFonts w:ascii="Arial" w:cs="Arial" w:eastAsia="Arial" w:hAnsi="Arial"/>
          <w:sz w:val="18"/>
          <w:szCs w:val="18"/>
          <w:color w:val="auto"/>
        </w:rPr>
        <w:t>During the year ended December 31, 2024, net cash used in investing activities of $248.5 million primarily related to purchases of marketable securities, partially offset by maturities of marketable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2" w:lineRule="exact"/>
        <w:rPr>
          <w:sz w:val="20"/>
          <w:szCs w:val="20"/>
          <w:color w:val="auto"/>
        </w:rPr>
      </w:pPr>
    </w:p>
    <w:p>
      <w:pPr>
        <w:jc w:val="both"/>
        <w:ind w:right="20" w:firstLine="439"/>
        <w:spacing w:after="0" w:line="261" w:lineRule="auto"/>
        <w:rPr>
          <w:sz w:val="20"/>
          <w:szCs w:val="20"/>
          <w:color w:val="auto"/>
        </w:rPr>
      </w:pPr>
      <w:r>
        <w:rPr>
          <w:rFonts w:ascii="Arial" w:cs="Arial" w:eastAsia="Arial" w:hAnsi="Arial"/>
          <w:sz w:val="18"/>
          <w:szCs w:val="18"/>
          <w:color w:val="auto"/>
        </w:rPr>
        <w:t>During the year ended December 31, 2025, net cash provided by financing activities of $702.2 million consisted primarily of net proceeds from our October 2025 follow-on public offering, net proceeds from our at-the-market offerings, and proceeds from the exercise of options and employee stock purchase plan purchases.</w:t>
      </w:r>
    </w:p>
    <w:p>
      <w:pPr>
        <w:spacing w:after="0" w:line="177" w:lineRule="exact"/>
        <w:rPr>
          <w:sz w:val="20"/>
          <w:szCs w:val="20"/>
          <w:color w:val="auto"/>
        </w:rPr>
      </w:pPr>
    </w:p>
    <w:p>
      <w:pPr>
        <w:jc w:val="both"/>
        <w:ind w:right="20" w:firstLine="439"/>
        <w:spacing w:after="0" w:line="261" w:lineRule="auto"/>
        <w:rPr>
          <w:sz w:val="20"/>
          <w:szCs w:val="20"/>
          <w:color w:val="auto"/>
        </w:rPr>
      </w:pPr>
      <w:r>
        <w:rPr>
          <w:rFonts w:ascii="Arial" w:cs="Arial" w:eastAsia="Arial" w:hAnsi="Arial"/>
          <w:sz w:val="18"/>
          <w:szCs w:val="18"/>
          <w:color w:val="auto"/>
        </w:rPr>
        <w:t>During the year ended December 31, 2024, net cash provided by financing activities of $514.3 million consisted primarily of net proceeds from our January 2024 and April 2024 follow-on public offerings, our at-the-market offerings and our collaboration and license agreement with Tenacia.</w:t>
      </w:r>
    </w:p>
    <w:p>
      <w:pPr>
        <w:spacing w:after="0" w:line="177" w:lineRule="exact"/>
        <w:rPr>
          <w:sz w:val="20"/>
          <w:szCs w:val="20"/>
          <w:color w:val="auto"/>
        </w:rPr>
      </w:pPr>
    </w:p>
    <w:p>
      <w:pPr>
        <w:ind w:right="280" w:firstLine="439"/>
        <w:spacing w:after="0" w:line="276" w:lineRule="auto"/>
        <w:rPr>
          <w:sz w:val="20"/>
          <w:szCs w:val="20"/>
          <w:color w:val="auto"/>
        </w:rPr>
      </w:pPr>
      <w:r>
        <w:rPr>
          <w:rFonts w:ascii="Arial" w:cs="Arial" w:eastAsia="Arial" w:hAnsi="Arial"/>
          <w:sz w:val="18"/>
          <w:szCs w:val="18"/>
          <w:color w:val="auto"/>
        </w:rPr>
        <w:t>For a discussion of our cash flows for the year ended December 31, 2023, see Item 7 of our Annual Report on Form 10-K for the year ended December 31,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2"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and our commercialization activities as we prepare for the potential approval of our product candidates. As a result, we expect to incur substantial operating expenses for the foreseeable future. We anticipate that our expenses will increase substantially if and as we:</w:t>
      </w:r>
    </w:p>
    <w:p>
      <w:pPr>
        <w:spacing w:after="0" w:line="129" w:lineRule="exact"/>
        <w:rPr>
          <w:sz w:val="20"/>
          <w:szCs w:val="20"/>
          <w:color w:val="auto"/>
        </w:rPr>
      </w:pPr>
    </w:p>
    <w:p>
      <w:pPr>
        <w:ind w:left="640" w:right="1100" w:hanging="314"/>
        <w:spacing w:after="0" w:line="276"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to build a sales, marketing, technology and distribution infrastructure and scale-up manufacturing capabilities to commercialize any products for which we may obtain regulatory approval;</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hanging="314"/>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2" w:lineRule="exact"/>
        <w:rPr>
          <w:rFonts w:ascii="Arial" w:cs="Arial" w:eastAsia="Arial" w:hAnsi="Arial"/>
          <w:sz w:val="18"/>
          <w:szCs w:val="18"/>
          <w:color w:val="auto"/>
        </w:rPr>
      </w:pPr>
    </w:p>
    <w:p>
      <w:pPr>
        <w:ind w:left="640" w:right="180" w:hanging="314"/>
        <w:spacing w:after="0" w:line="307" w:lineRule="auto"/>
        <w:tabs>
          <w:tab w:leader="none" w:pos="6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when needed, add clinical, scientific, operational, financial and management information systems and personnel, including personnel to support our product development and commercialization efforts and to support our operations as a public company; and</w:t>
      </w:r>
    </w:p>
    <w:p>
      <w:pPr>
        <w:spacing w:after="0" w:line="32" w:lineRule="exact"/>
        <w:rPr>
          <w:rFonts w:ascii="Arial" w:cs="Arial" w:eastAsia="Arial" w:hAnsi="Arial"/>
          <w:sz w:val="17"/>
          <w:szCs w:val="17"/>
          <w:color w:val="auto"/>
        </w:rPr>
      </w:pPr>
    </w:p>
    <w:p>
      <w:pPr>
        <w:ind w:left="640" w:right="20" w:hanging="314"/>
        <w:spacing w:after="0" w:line="276"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63"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December 31, 2025, together with proceeds from our follow-on public offering in January 2026, will be sufficient to fund our operating expenditures and capital expenditure requirements into 2028. However, we have based this estimate on assumptions that may prove to be wrong and we could exhaust our capital resources sooner than we expect.</w:t>
      </w:r>
    </w:p>
    <w:p>
      <w:pPr>
        <w:spacing w:after="0" w:line="182"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29" w:lineRule="exact"/>
        <w:rPr>
          <w:sz w:val="20"/>
          <w:szCs w:val="20"/>
          <w:color w:val="auto"/>
        </w:rPr>
      </w:pPr>
    </w:p>
    <w:p>
      <w:pPr>
        <w:ind w:left="640" w:hanging="31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65" w:lineRule="exact"/>
        <w:rPr>
          <w:rFonts w:ascii="Arial" w:cs="Arial" w:eastAsia="Arial" w:hAnsi="Arial"/>
          <w:sz w:val="18"/>
          <w:szCs w:val="18"/>
          <w:color w:val="auto"/>
        </w:rPr>
      </w:pPr>
    </w:p>
    <w:p>
      <w:pPr>
        <w:ind w:left="640" w:right="340" w:hanging="314"/>
        <w:spacing w:after="0" w:line="276"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09" w:lineRule="exact"/>
        <w:rPr>
          <w:rFonts w:ascii="Arial" w:cs="Arial" w:eastAsia="Arial" w:hAnsi="Arial"/>
          <w:sz w:val="18"/>
          <w:szCs w:val="18"/>
          <w:color w:val="auto"/>
        </w:rPr>
      </w:pPr>
    </w:p>
    <w:p>
      <w:pPr>
        <w:ind w:left="640" w:right="360" w:hanging="314"/>
        <w:spacing w:after="0" w:line="276"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109" w:lineRule="exact"/>
        <w:rPr>
          <w:rFonts w:ascii="Arial" w:cs="Arial" w:eastAsia="Arial" w:hAnsi="Arial"/>
          <w:sz w:val="18"/>
          <w:szCs w:val="18"/>
          <w:color w:val="auto"/>
        </w:rPr>
      </w:pPr>
    </w:p>
    <w:p>
      <w:pPr>
        <w:ind w:left="640" w:right="60" w:hanging="314"/>
        <w:spacing w:after="0" w:line="276"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65"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Accordingly, we may need to obtain substantial additional funds to achieve our business objectives.</w:t>
      </w:r>
    </w:p>
    <w:p>
      <w:pPr>
        <w:spacing w:after="0" w:line="182"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89"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4" w:lineRule="exact"/>
        <w:rPr>
          <w:sz w:val="20"/>
          <w:szCs w:val="20"/>
          <w:color w:val="auto"/>
        </w:rPr>
      </w:pPr>
    </w:p>
    <w:p>
      <w:pPr>
        <w:ind w:right="440" w:firstLine="439"/>
        <w:spacing w:after="0" w:line="276" w:lineRule="auto"/>
        <w:rPr>
          <w:sz w:val="20"/>
          <w:szCs w:val="20"/>
          <w:color w:val="auto"/>
        </w:rPr>
      </w:pPr>
      <w:r>
        <w:rPr>
          <w:rFonts w:ascii="Arial" w:cs="Arial" w:eastAsia="Arial" w:hAnsi="Arial"/>
          <w:sz w:val="18"/>
          <w:szCs w:val="18"/>
          <w:color w:val="auto"/>
        </w:rPr>
        <w:t>We have entered into certain agreements under which we have incurred or may in the future incur obligations and commitments that could have a material impact on our capital resources.</w:t>
      </w:r>
    </w:p>
    <w:p>
      <w:pPr>
        <w:spacing w:after="0" w:line="163"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We sublease building space in Boston, Massachusetts. Our sublease will expire on February 28, 2026. As of December 31, 2025, our operating lease commitments for the remainder of the lease term were $0.1 million. Additionally, we have entered into a license agreement for our existing office space in Boston, Massachusetts that commences on March 1, 2026 and expires on March 31, 2027. Our financial commitments for the term of the license agreement are $1.5 million.</w:t>
      </w:r>
    </w:p>
    <w:p>
      <w:pPr>
        <w:spacing w:after="0" w:line="182" w:lineRule="exact"/>
        <w:rPr>
          <w:sz w:val="20"/>
          <w:szCs w:val="20"/>
          <w:color w:val="auto"/>
        </w:rPr>
      </w:pPr>
    </w:p>
    <w:p>
      <w:pPr>
        <w:ind w:right="60" w:firstLine="439"/>
        <w:spacing w:after="0" w:line="276" w:lineRule="auto"/>
        <w:rPr>
          <w:sz w:val="20"/>
          <w:szCs w:val="20"/>
          <w:color w:val="auto"/>
        </w:rPr>
      </w:pPr>
      <w:r>
        <w:rPr>
          <w:rFonts w:ascii="Arial" w:cs="Arial" w:eastAsia="Arial" w:hAnsi="Arial"/>
          <w:sz w:val="18"/>
          <w:szCs w:val="18"/>
          <w:color w:val="auto"/>
        </w:rPr>
        <w:t>In addition, we have entered into collaboration and license agreements with RogCon Inc., or RogCon, and Ionis Pharmaceuticals, Inc., or Ionis, under which we could be obligated to pay certain fees, milestone payments and cost reimbursements.</w:t>
      </w:r>
    </w:p>
    <w:p>
      <w:pPr>
        <w:spacing w:after="0" w:line="163"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Under our license agreement with RogCon, we are obligated to reimburse RogCon for its out-of-pocket costs incurred for activities performed under the license agreement. Additionally, we may be obligated to pay RogCon a milestone payment of $3.0 million and profit share payments. The $3.0 million milestone payment is due when the first profit share payment has become due and payable and certain contingent payments have become due and payable to Ionis under our collaboration agreement with Ionis. The profit share payments are based on a low-double-digit percentage of net profits, depending on sales volume. Either party may terminate the license agreement for material breach or insolvency of the other party. Additionally, we may terminate for convenience with prior notice to RogCon. See “Business—License Agreements —License Agreement with RogCon.”</w:t>
      </w:r>
    </w:p>
    <w:p>
      <w:pPr>
        <w:spacing w:after="0" w:line="189" w:lineRule="exact"/>
        <w:rPr>
          <w:sz w:val="20"/>
          <w:szCs w:val="20"/>
          <w:color w:val="auto"/>
        </w:rPr>
      </w:pPr>
    </w:p>
    <w:p>
      <w:pPr>
        <w:ind w:right="40" w:firstLine="439"/>
        <w:spacing w:after="0" w:line="250" w:lineRule="auto"/>
        <w:rPr>
          <w:sz w:val="20"/>
          <w:szCs w:val="20"/>
          <w:color w:val="auto"/>
        </w:rPr>
      </w:pPr>
      <w:r>
        <w:rPr>
          <w:rFonts w:ascii="Arial" w:cs="Arial" w:eastAsia="Arial" w:hAnsi="Arial"/>
          <w:sz w:val="18"/>
          <w:szCs w:val="18"/>
          <w:color w:val="auto"/>
        </w:rPr>
        <w:t>Under our collaboration agreement with Ionis, we reimbursed Ionis for identifying a development candidate and conducting an investigational new drug application, or IND, enabling toxicology study, as well as out of pocket costs incurred by Ionis related to research activities. Ionis granted us an exclusive option to obtain the rights and license to further develop and commercialize the development candidate in the field of epilepsy and neurodevelopmental disorders, other than Dravet Syndrome, following the results of the IND-enabling toxicology study. We exercised this exclusive option in January 2022 and paid a $2.0 million license fee. In July 2023, upon initiation of the elsunersen EMBRAVE study in the second quarter of 2023, we paid a milestone payment of $6.9 million to Ionis. Ionis may be entitled to additional development milestone payments, additional milestone payments, and sales royalties or sublicense fees. We may be required to make additional payments to Ionis including development milestone payments, additional milestone payments and sales royalties or sublicense fees. Either party may terminate the collaboration agreement upon material breach or insolvency of the other party. Ionis may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terminate if we fail to achieve a performance milestone. See “Business—License Agreements—Ionis Collaboration Agreement.”</w:t>
      </w:r>
    </w:p>
    <w:p>
      <w:pPr>
        <w:spacing w:after="0" w:line="219"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We have also entered into multiple agreements with third parties under which we may be obligated to make future development, regulatory and commercial milestone payments and royalty payments on future sales of specified product candidates. Payments under these agreements generally become due and payable upon achievement of such milestones and sales. When the achievement of these milestones or sales have not occurred, such contingencies are not recorded in our financial statements.</w:t>
      </w:r>
    </w:p>
    <w:p>
      <w:pPr>
        <w:spacing w:after="0" w:line="182"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7"/>
          <w:szCs w:val="17"/>
          <w:color w:val="auto"/>
        </w:rPr>
        <w:t>We have agreements with certain vendors for various services, including services related to clinical operations and support, for which we are not contractually able to terminate for convenience and avoid any and all future obligations to the vendors. Under such agreements, we are contractually obligated to make certain payments to vendors to reimburse them for their unrecoverable outlays incurred prior to cancellation.</w:t>
      </w:r>
    </w:p>
    <w:p>
      <w:pPr>
        <w:ind w:right="180"/>
        <w:spacing w:after="0" w:line="258" w:lineRule="auto"/>
        <w:rPr>
          <w:sz w:val="20"/>
          <w:szCs w:val="20"/>
          <w:color w:val="auto"/>
        </w:rPr>
      </w:pPr>
      <w:r>
        <w:rPr>
          <w:rFonts w:ascii="Arial" w:cs="Arial" w:eastAsia="Arial" w:hAnsi="Arial"/>
          <w:sz w:val="18"/>
          <w:szCs w:val="18"/>
          <w:color w:val="auto"/>
        </w:rPr>
        <w:t>The exact amounts of such obligations are dependent on the timing of termination and the exact terms of the relevant agreement and cannot be reasonably estimated.</w:t>
      </w:r>
    </w:p>
    <w:p>
      <w:pPr>
        <w:spacing w:after="0" w:line="178" w:lineRule="exact"/>
        <w:rPr>
          <w:sz w:val="20"/>
          <w:szCs w:val="20"/>
          <w:color w:val="auto"/>
        </w:rPr>
      </w:pPr>
    </w:p>
    <w:p>
      <w:pPr>
        <w:ind w:right="340" w:firstLine="439"/>
        <w:spacing w:after="0" w:line="252" w:lineRule="auto"/>
        <w:rPr>
          <w:sz w:val="20"/>
          <w:szCs w:val="20"/>
          <w:color w:val="auto"/>
        </w:rPr>
      </w:pPr>
      <w:r>
        <w:rPr>
          <w:rFonts w:ascii="Arial" w:cs="Arial" w:eastAsia="Arial" w:hAnsi="Arial"/>
          <w:sz w:val="18"/>
          <w:szCs w:val="18"/>
          <w:color w:val="auto"/>
        </w:rPr>
        <w:t>In addition, we enter into indemnification agreements and agreements containing indemnification provisions in the ordinary course of business. Pursuant to these agreements, we agree to indemnify, hold harmless and reimburse the indemnified party for losses suffered or incurred by the indemnified party, generally our business collaborators, in connection with any U.S. patent or any copyright or other IP infringement claim by any third party with respect to our product candidates. The term of these indemnification agreements is generally perpetual upon execution of the agreement. The maximum potential amount of future payments we could be required to make under these indemnification agreements cannot be reasonably estimated.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4" w:lineRule="exact"/>
        <w:rPr>
          <w:sz w:val="20"/>
          <w:szCs w:val="20"/>
          <w:color w:val="auto"/>
        </w:rPr>
      </w:pPr>
    </w:p>
    <w:p>
      <w:pPr>
        <w:ind w:right="180" w:firstLine="439"/>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400" w:firstLine="439"/>
        <w:spacing w:after="0" w:line="261"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Accruals and Prepaids</w:t>
      </w:r>
    </w:p>
    <w:p>
      <w:pPr>
        <w:spacing w:after="0" w:line="112" w:lineRule="exact"/>
        <w:rPr>
          <w:sz w:val="20"/>
          <w:szCs w:val="20"/>
          <w:color w:val="auto"/>
        </w:rPr>
      </w:pPr>
    </w:p>
    <w:p>
      <w:pPr>
        <w:ind w:right="120" w:firstLine="439"/>
        <w:spacing w:after="0" w:line="25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activities, including personnel-related expenses such as salaries, benefits and stock-based compensation expense; materials; supplies; manufacturing and external costs related to outside vendors engaged to conduct both preclinical studies and clinical trials; and the allocable portions of facility costs, such as rent, utilities, depreciation and general support services. All costs associated with research and development activities are expensed as incurred.</w:t>
      </w:r>
    </w:p>
    <w:p>
      <w:pPr>
        <w:spacing w:after="0" w:line="183" w:lineRule="exact"/>
        <w:rPr>
          <w:sz w:val="20"/>
          <w:szCs w:val="20"/>
          <w:color w:val="auto"/>
        </w:rPr>
      </w:pPr>
    </w:p>
    <w:p>
      <w:pPr>
        <w:ind w:right="80" w:firstLine="439"/>
        <w:spacing w:after="0" w:line="251"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and prepaid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in determining our accrued and prepaid research and development expenses as of each balance sheet date in our financial statements based on facts and circumstances known to us at that time. When evaluating the adequacy of the accrued liabilities and prepaid expenses, we analyze progress of</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studies or trials related to these services, including the phase or completion of events, invoices received and contracted costs. Examples of estimated accrued and prepaid research and development expenses include fees paid to:</w:t>
      </w:r>
    </w:p>
    <w:p>
      <w:pPr>
        <w:spacing w:after="0" w:line="110" w:lineRule="exact"/>
        <w:rPr>
          <w:sz w:val="20"/>
          <w:szCs w:val="20"/>
          <w:color w:val="auto"/>
        </w:rPr>
      </w:pPr>
    </w:p>
    <w:p>
      <w:pPr>
        <w:ind w:left="640" w:hanging="314"/>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CROs in connection with performing research services and preclinical and clinical studies;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preclinical and clinical studies;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vendors in connection with preclinical and clinical development activities; and</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preclinical and clinical supplies.</w:t>
      </w:r>
    </w:p>
    <w:p>
      <w:pPr>
        <w:spacing w:after="0" w:line="219" w:lineRule="exact"/>
        <w:rPr>
          <w:sz w:val="20"/>
          <w:szCs w:val="20"/>
          <w:color w:val="auto"/>
        </w:rPr>
      </w:pPr>
    </w:p>
    <w:p>
      <w:pPr>
        <w:ind w:right="100" w:firstLine="439"/>
        <w:spacing w:after="0" w:line="267" w:lineRule="auto"/>
        <w:rPr>
          <w:sz w:val="20"/>
          <w:szCs w:val="20"/>
          <w:color w:val="auto"/>
        </w:rPr>
      </w:pPr>
      <w:r>
        <w:rPr>
          <w:rFonts w:ascii="Arial" w:cs="Arial" w:eastAsia="Arial" w:hAnsi="Arial"/>
          <w:sz w:val="17"/>
          <w:szCs w:val="17"/>
          <w:color w:val="auto"/>
        </w:rPr>
        <w:t>The financial terms of our agreements with CROs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milestones. In expensing service fees, we estimate the time period over which services will be performed, enrollment of patients, number of sites activated and the level of effort expended in each period. If the actual timing of the performance of services or the level of effort varies from our estimate, we adjust the expense accordingly. Significant judgments and estimates are made in determining the accrued and prepaid research and development expenses at the end of any reporting period.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4" w:lineRule="exact"/>
        <w:rPr>
          <w:sz w:val="20"/>
          <w:szCs w:val="20"/>
          <w:color w:val="auto"/>
        </w:rPr>
      </w:pPr>
    </w:p>
    <w:p>
      <w:pPr>
        <w:ind w:right="40" w:firstLine="439"/>
        <w:spacing w:after="0" w:line="261"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consolidated financial statements appearing elsewhere in this Annual Report on Form 10-K, such standards will not have a material impact on our consolidated financial statements or do not otherwise apply to our current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4" w:lineRule="exact"/>
        <w:rPr>
          <w:sz w:val="20"/>
          <w:szCs w:val="20"/>
          <w:color w:val="auto"/>
        </w:rPr>
      </w:pPr>
    </w:p>
    <w:p>
      <w:pPr>
        <w:ind w:firstLine="439"/>
        <w:spacing w:after="0" w:line="272"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low risk profile of the instruments in our portfolio at any given time, an immediate change in market interest rates of 100 basis points would not have a material impact on our financial position or results of operations.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p>
      <w:pPr>
        <w:ind w:right="100" w:firstLine="439"/>
        <w:spacing w:after="0" w:line="276"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193"/>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 w:type="dxa"/>
            <w:vAlign w:val="bottom"/>
            <w:shd w:val="clear" w:color="auto" w:fill="CCEEFF"/>
          </w:tcPr>
          <w:p>
            <w:pPr>
              <w:spacing w:after="0"/>
              <w:rPr>
                <w:sz w:val="16"/>
                <w:szCs w:val="16"/>
                <w:color w:val="auto"/>
              </w:rPr>
            </w:pPr>
          </w:p>
        </w:tc>
        <w:tc>
          <w:tcPr>
            <w:tcW w:w="10280" w:type="dxa"/>
            <w:vAlign w:val="bottom"/>
            <w:gridSpan w:val="6"/>
            <w:shd w:val="clear" w:color="auto" w:fill="CCEEFF"/>
          </w:tcPr>
          <w:p>
            <w:pPr>
              <w:spacing w:after="0" w:line="187"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42)</w:t>
            </w:r>
          </w:p>
        </w:tc>
        <w:tc>
          <w:tcPr>
            <w:tcW w:w="920" w:type="dxa"/>
            <w:vAlign w:val="bottom"/>
            <w:gridSpan w:val="3"/>
            <w:shd w:val="clear" w:color="auto" w:fill="CCEEFF"/>
          </w:tcPr>
          <w:p>
            <w:pPr>
              <w:jc w:val="center"/>
              <w:spacing w:after="0" w:line="187" w:lineRule="exact"/>
              <w:rPr>
                <w:sz w:val="20"/>
                <w:szCs w:val="20"/>
                <w:color w:val="auto"/>
              </w:rPr>
            </w:pPr>
            <w:r>
              <w:rPr>
                <w:rFonts w:ascii="Arial" w:cs="Arial" w:eastAsia="Arial" w:hAnsi="Arial"/>
                <w:sz w:val="18"/>
                <w:szCs w:val="18"/>
                <w:color w:val="0000FF"/>
                <w:w w:val="99"/>
              </w:rPr>
              <w:t>103</w:t>
            </w:r>
          </w:p>
        </w:tc>
        <w:tc>
          <w:tcPr>
            <w:tcW w:w="20" w:type="dxa"/>
            <w:vAlign w:val="bottom"/>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23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57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2340" w:type="dxa"/>
            <w:vAlign w:val="bottom"/>
          </w:tcPr>
          <w:p>
            <w:pPr>
              <w:spacing w:after="0" w:line="187" w:lineRule="exact"/>
              <w:rPr>
                <w:sz w:val="20"/>
                <w:szCs w:val="20"/>
                <w:color w:val="auto"/>
              </w:rPr>
            </w:pPr>
            <w:r>
              <w:rPr>
                <w:rFonts w:ascii="Arial" w:cs="Arial" w:eastAsia="Arial" w:hAnsi="Arial"/>
                <w:sz w:val="18"/>
                <w:szCs w:val="18"/>
                <w:color w:val="0000FF"/>
                <w:w w:val="98"/>
              </w:rPr>
              <w:t>Consolidated Balance Sheets</w:t>
            </w:r>
          </w:p>
        </w:tc>
        <w:tc>
          <w:tcPr>
            <w:tcW w:w="2200" w:type="dxa"/>
            <w:vAlign w:val="bottom"/>
            <w:gridSpan w:val="4"/>
          </w:tcPr>
          <w:p>
            <w:pPr>
              <w:spacing w:after="0"/>
              <w:rPr>
                <w:sz w:val="16"/>
                <w:szCs w:val="16"/>
                <w:color w:val="auto"/>
              </w:rPr>
            </w:pPr>
          </w:p>
        </w:tc>
        <w:tc>
          <w:tcPr>
            <w:tcW w:w="5740" w:type="dxa"/>
            <w:vAlign w:val="bottom"/>
          </w:tcPr>
          <w:p>
            <w:pPr>
              <w:spacing w:after="0"/>
              <w:rPr>
                <w:sz w:val="16"/>
                <w:szCs w:val="16"/>
                <w:color w:val="auto"/>
              </w:rPr>
            </w:pPr>
          </w:p>
        </w:tc>
        <w:tc>
          <w:tcPr>
            <w:tcW w:w="920" w:type="dxa"/>
            <w:vAlign w:val="bottom"/>
            <w:gridSpan w:val="3"/>
          </w:tcPr>
          <w:p>
            <w:pPr>
              <w:jc w:val="center"/>
              <w:spacing w:after="0" w:line="187" w:lineRule="exact"/>
              <w:rPr>
                <w:sz w:val="20"/>
                <w:szCs w:val="20"/>
                <w:color w:val="auto"/>
              </w:rPr>
            </w:pPr>
            <w:r>
              <w:rPr>
                <w:rFonts w:ascii="Arial" w:cs="Arial" w:eastAsia="Arial" w:hAnsi="Arial"/>
                <w:sz w:val="18"/>
                <w:szCs w:val="18"/>
                <w:color w:val="0000FF"/>
                <w:w w:val="99"/>
              </w:rPr>
              <w:t>105</w:t>
            </w:r>
          </w:p>
        </w:tc>
        <w:tc>
          <w:tcPr>
            <w:tcW w:w="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34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1028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0000FF"/>
              </w:rPr>
              <w:t>Consolidated Statements of Operations</w:t>
            </w:r>
          </w:p>
        </w:tc>
        <w:tc>
          <w:tcPr>
            <w:tcW w:w="92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color w:val="0000FF"/>
                <w:w w:val="99"/>
              </w:rPr>
              <w:t>106</w:t>
            </w:r>
          </w:p>
        </w:tc>
        <w:tc>
          <w:tcPr>
            <w:tcW w:w="20" w:type="dxa"/>
            <w:vAlign w:val="bottom"/>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2340" w:type="dxa"/>
            <w:vAlign w:val="bottom"/>
            <w:shd w:val="clear" w:color="auto" w:fill="0000FF"/>
          </w:tcPr>
          <w:p>
            <w:pPr>
              <w:spacing w:after="0"/>
              <w:rPr>
                <w:sz w:val="3"/>
                <w:szCs w:val="3"/>
                <w:color w:val="auto"/>
              </w:rPr>
            </w:pPr>
          </w:p>
        </w:tc>
        <w:tc>
          <w:tcPr>
            <w:tcW w:w="820" w:type="dxa"/>
            <w:vAlign w:val="bottom"/>
            <w:tcBorders>
              <w:right w:val="single" w:sz="8" w:color="CCEE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7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3900" w:type="dxa"/>
            <w:vAlign w:val="bottom"/>
            <w:gridSpan w:val="4"/>
          </w:tcPr>
          <w:p>
            <w:pPr>
              <w:spacing w:after="0" w:line="187" w:lineRule="exact"/>
              <w:rPr>
                <w:sz w:val="20"/>
                <w:szCs w:val="20"/>
                <w:color w:val="auto"/>
              </w:rPr>
            </w:pPr>
            <w:r>
              <w:rPr>
                <w:rFonts w:ascii="Arial" w:cs="Arial" w:eastAsia="Arial" w:hAnsi="Arial"/>
                <w:sz w:val="18"/>
                <w:szCs w:val="18"/>
                <w:color w:val="0000FF"/>
                <w:w w:val="97"/>
              </w:rPr>
              <w:t>Consolidated Statements of Comprehensive Loss</w:t>
            </w:r>
          </w:p>
        </w:tc>
        <w:tc>
          <w:tcPr>
            <w:tcW w:w="6380" w:type="dxa"/>
            <w:vAlign w:val="bottom"/>
            <w:gridSpan w:val="2"/>
          </w:tcPr>
          <w:p>
            <w:pPr>
              <w:spacing w:after="0"/>
              <w:rPr>
                <w:sz w:val="16"/>
                <w:szCs w:val="16"/>
                <w:color w:val="auto"/>
              </w:rPr>
            </w:pPr>
          </w:p>
        </w:tc>
        <w:tc>
          <w:tcPr>
            <w:tcW w:w="920" w:type="dxa"/>
            <w:vAlign w:val="bottom"/>
            <w:gridSpan w:val="3"/>
          </w:tcPr>
          <w:p>
            <w:pPr>
              <w:jc w:val="center"/>
              <w:spacing w:after="0" w:line="187" w:lineRule="exact"/>
              <w:rPr>
                <w:sz w:val="20"/>
                <w:szCs w:val="20"/>
                <w:color w:val="auto"/>
              </w:rPr>
            </w:pPr>
            <w:r>
              <w:rPr>
                <w:rFonts w:ascii="Arial" w:cs="Arial" w:eastAsia="Arial" w:hAnsi="Arial"/>
                <w:sz w:val="18"/>
                <w:szCs w:val="18"/>
                <w:color w:val="0000FF"/>
                <w:w w:val="99"/>
              </w:rPr>
              <w:t>107</w:t>
            </w:r>
          </w:p>
        </w:tc>
        <w:tc>
          <w:tcPr>
            <w:tcW w:w="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34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900" w:type="dxa"/>
            <w:vAlign w:val="bottom"/>
            <w:tcBorders>
              <w:right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0000FF"/>
                <w:w w:val="99"/>
              </w:rPr>
              <w:t>Consolidated Statements of Stockholders’ Equity</w:t>
            </w:r>
          </w:p>
        </w:tc>
        <w:tc>
          <w:tcPr>
            <w:tcW w:w="6380" w:type="dxa"/>
            <w:vAlign w:val="bottom"/>
            <w:gridSpan w:val="2"/>
            <w:shd w:val="clear" w:color="auto" w:fill="CCEEFF"/>
          </w:tcPr>
          <w:p>
            <w:pPr>
              <w:spacing w:after="0"/>
              <w:rPr>
                <w:sz w:val="17"/>
                <w:szCs w:val="17"/>
                <w:color w:val="auto"/>
              </w:rPr>
            </w:pPr>
          </w:p>
        </w:tc>
        <w:tc>
          <w:tcPr>
            <w:tcW w:w="92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color w:val="0000FF"/>
                <w:w w:val="99"/>
              </w:rPr>
              <w:t>108</w:t>
            </w:r>
          </w:p>
        </w:tc>
        <w:tc>
          <w:tcPr>
            <w:tcW w:w="20" w:type="dxa"/>
            <w:vAlign w:val="bottom"/>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234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40" w:type="dxa"/>
            <w:vAlign w:val="bottom"/>
            <w:tcBorders>
              <w:right w:val="single" w:sz="8" w:color="CCEEFF"/>
            </w:tcBorders>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7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3160" w:type="dxa"/>
            <w:vAlign w:val="bottom"/>
            <w:gridSpan w:val="2"/>
          </w:tcPr>
          <w:p>
            <w:pPr>
              <w:spacing w:after="0" w:line="187" w:lineRule="exact"/>
              <w:rPr>
                <w:sz w:val="20"/>
                <w:szCs w:val="20"/>
                <w:color w:val="auto"/>
              </w:rPr>
            </w:pPr>
            <w:r>
              <w:rPr>
                <w:rFonts w:ascii="Arial" w:cs="Arial" w:eastAsia="Arial" w:hAnsi="Arial"/>
                <w:sz w:val="18"/>
                <w:szCs w:val="18"/>
                <w:color w:val="0000FF"/>
                <w:w w:val="97"/>
              </w:rPr>
              <w:t>Consolidated Statements of Cash Flows</w:t>
            </w:r>
          </w:p>
        </w:tc>
        <w:tc>
          <w:tcPr>
            <w:tcW w:w="740" w:type="dxa"/>
            <w:vAlign w:val="bottom"/>
            <w:gridSpan w:val="2"/>
          </w:tcPr>
          <w:p>
            <w:pPr>
              <w:spacing w:after="0"/>
              <w:rPr>
                <w:sz w:val="16"/>
                <w:szCs w:val="16"/>
                <w:color w:val="auto"/>
              </w:rPr>
            </w:pPr>
          </w:p>
        </w:tc>
        <w:tc>
          <w:tcPr>
            <w:tcW w:w="6380" w:type="dxa"/>
            <w:vAlign w:val="bottom"/>
            <w:gridSpan w:val="2"/>
          </w:tcPr>
          <w:p>
            <w:pPr>
              <w:spacing w:after="0"/>
              <w:rPr>
                <w:sz w:val="16"/>
                <w:szCs w:val="16"/>
                <w:color w:val="auto"/>
              </w:rPr>
            </w:pPr>
          </w:p>
        </w:tc>
        <w:tc>
          <w:tcPr>
            <w:tcW w:w="920" w:type="dxa"/>
            <w:vAlign w:val="bottom"/>
            <w:gridSpan w:val="3"/>
          </w:tcPr>
          <w:p>
            <w:pPr>
              <w:jc w:val="center"/>
              <w:spacing w:after="0" w:line="187" w:lineRule="exact"/>
              <w:rPr>
                <w:sz w:val="20"/>
                <w:szCs w:val="20"/>
                <w:color w:val="auto"/>
              </w:rPr>
            </w:pPr>
            <w:r>
              <w:rPr>
                <w:rFonts w:ascii="Arial" w:cs="Arial" w:eastAsia="Arial" w:hAnsi="Arial"/>
                <w:sz w:val="18"/>
                <w:szCs w:val="18"/>
                <w:color w:val="0000FF"/>
                <w:w w:val="99"/>
              </w:rPr>
              <w:t>109</w:t>
            </w:r>
          </w:p>
        </w:tc>
        <w:tc>
          <w:tcPr>
            <w:tcW w:w="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34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34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0000FF"/>
                <w:w w:val="98"/>
              </w:rPr>
              <w:t>Notes to Consolidated Financial Statements</w:t>
            </w:r>
          </w:p>
        </w:tc>
        <w:tc>
          <w:tcPr>
            <w:tcW w:w="6820" w:type="dxa"/>
            <w:vAlign w:val="bottom"/>
            <w:gridSpan w:val="3"/>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0000FF"/>
                <w:w w:val="93"/>
              </w:rPr>
              <w:t>110</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41"/>
        </w:trPr>
        <w:tc>
          <w:tcPr>
            <w:tcW w:w="20" w:type="dxa"/>
            <w:vAlign w:val="bottom"/>
            <w:tcBorders>
              <w:top w:val="single" w:sz="8" w:color="CCEEFF"/>
            </w:tcBorders>
          </w:tcPr>
          <w:p>
            <w:pPr>
              <w:spacing w:after="0"/>
              <w:rPr>
                <w:sz w:val="24"/>
                <w:szCs w:val="24"/>
                <w:color w:val="auto"/>
              </w:rPr>
            </w:pPr>
          </w:p>
        </w:tc>
        <w:tc>
          <w:tcPr>
            <w:tcW w:w="3460" w:type="dxa"/>
            <w:vAlign w:val="bottom"/>
            <w:tcBorders>
              <w:top w:val="single" w:sz="8" w:color="0000FF"/>
            </w:tcBorders>
            <w:gridSpan w:val="3"/>
          </w:tcPr>
          <w:p>
            <w:pPr>
              <w:spacing w:after="0"/>
              <w:rPr>
                <w:sz w:val="24"/>
                <w:szCs w:val="24"/>
                <w:color w:val="auto"/>
              </w:rPr>
            </w:pPr>
          </w:p>
        </w:tc>
        <w:tc>
          <w:tcPr>
            <w:tcW w:w="6820" w:type="dxa"/>
            <w:vAlign w:val="bottom"/>
            <w:tcBorders>
              <w:top w:val="single" w:sz="8" w:color="CCEEFF"/>
            </w:tcBorders>
            <w:gridSpan w:val="3"/>
          </w:tcPr>
          <w:p>
            <w:pPr>
              <w:jc w:val="right"/>
              <w:ind w:right="4520"/>
              <w:spacing w:after="0"/>
              <w:rPr>
                <w:sz w:val="20"/>
                <w:szCs w:val="20"/>
                <w:color w:val="auto"/>
              </w:rPr>
            </w:pPr>
            <w:r>
              <w:rPr>
                <w:rFonts w:ascii="Arial" w:cs="Arial" w:eastAsia="Arial" w:hAnsi="Arial"/>
                <w:sz w:val="18"/>
                <w:szCs w:val="18"/>
                <w:color w:val="auto"/>
              </w:rPr>
              <w:t>102</w:t>
            </w:r>
          </w:p>
        </w:tc>
        <w:tc>
          <w:tcPr>
            <w:tcW w:w="320" w:type="dxa"/>
            <w:vAlign w:val="bottom"/>
            <w:tcBorders>
              <w:top w:val="single" w:sz="8" w:color="CCEE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Praxis Precision Medicines,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audited the accompanying consolidated balance sheets of Praxis Precision Medicines, Inc. (the Company) as of December 31, 2025 and 2024, the related consolidated statements of operations,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19, 2026 expressed an unqualified opinion thereon.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Cerebrum Platform Accrued Research and Development Costs</w:t>
      </w:r>
    </w:p>
    <w:p>
      <w:pPr>
        <w:sectPr>
          <w:pgSz w:w="11900" w:h="16838" w:orient="portrait"/>
          <w:cols w:equalWidth="0" w:num="1">
            <w:col w:w="11180"/>
          </w:cols>
          <w:pgMar w:left="320" w:top="115" w:right="399" w:bottom="1440" w:gutter="0" w:footer="0" w:header="0"/>
        </w:sectPr>
      </w:pPr>
    </w:p>
    <w:p>
      <w:pPr>
        <w:spacing w:after="0" w:line="206" w:lineRule="exact"/>
        <w:rPr>
          <w:sz w:val="20"/>
          <w:szCs w:val="20"/>
          <w:color w:val="auto"/>
        </w:rPr>
      </w:pPr>
    </w:p>
    <w:p>
      <w:pPr>
        <w:ind w:left="20" w:right="400"/>
        <w:spacing w:after="0" w:line="338"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line="372" w:lineRule="auto"/>
        <w:rPr>
          <w:sz w:val="20"/>
          <w:szCs w:val="20"/>
          <w:color w:val="auto"/>
        </w:rPr>
      </w:pPr>
      <w:r>
        <w:rPr>
          <w:rFonts w:ascii="Arial" w:cs="Arial" w:eastAsia="Arial" w:hAnsi="Arial"/>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Company’s accrued costs for research and development expenses totaled $14.3 million at December 31, 2025, including accruals related to the Company’s Cerebrum Platform research and development costs. As discussed in Note 2 to the consolidated financial statements, the Company analyzes the progress of the studies or clinical trials, including the phase or completion of events, invoices received and contracted costs. Significant judgments and estimates are made in determining the accrued balances at the end of any reporting period for certain Cerebrum Platform research and development costs. The Company is required to estimate such accruals using judgment based on certain information, including actual costs incurred or level of effort expended, as provided by its vendors. Payments for such activities are based on the terms of the individual arrangements, which may differ from the pattern of costs incurred, and are reflected on the consolidated balance sheet within accrued expenses.</w:t>
      </w:r>
    </w:p>
    <w:p>
      <w:pPr>
        <w:spacing w:after="0" w:line="19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Auditing the Company’s accrued research and development costs for certain Cerebrum Platform costs was complex, as accounting for the costs associated with these studies or clinical trials required subjective estimates of the level of services performed and the associated costs incurred by vendors. Furthermore, due to the duration of certain Cerebrum Platform research and development costs, and the timing of information received from third parties, the actual amounts incurred are not typically known at the time the consolidated financial statements are issued.</w:t>
      </w:r>
    </w:p>
    <w:p>
      <w:pPr>
        <w:spacing w:after="0" w:line="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obtained an understanding, evaluated the design, and tested the operating effectiveness of internal controls over accrued research and development costs for the Cerebrum Platform, including assessing management’s controls over the significant judgments and estimates regarding costs incurred or level of effort expended by vendors.</w:t>
      </w:r>
    </w:p>
    <w:p>
      <w:pPr>
        <w:spacing w:after="0" w:line="19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To evaluate the accrued research and development costs for the Cerebrum Platform, our audit procedures included, among others, testing the accuracy and completeness of the underlying data used in the estimates and evaluating the significant judgments and estimates made by management to determine the recorded accruals. To test the significant judgments and estimates, we discussed the progress of research and development activities with the Company’s research and development personnel that oversee the research and development projects and inspected the Company’s contracts with vendors and pending change orders to assess the impact on amounts recorded. In addition, we inspected information obtained by the Company from vendors, which included the vendors’ estimate of costs incurred to date. We also obtained vendors direct confirmations to confirm costs incurred as of year-end and invoicing and contracts executed to date to verify that accruals are complete and accurate. We also analyzed fluctuations in accruals by vendor and by trial throughout the period subject to audit, evaluated the costs incurred per trial for reasonableness and tested subsequent invoices received from vendors.</w:t>
      </w:r>
    </w:p>
    <w:p>
      <w:pPr>
        <w:spacing w:after="0" w:line="200" w:lineRule="exact"/>
        <w:rPr>
          <w:sz w:val="20"/>
          <w:szCs w:val="20"/>
          <w:color w:val="auto"/>
        </w:rPr>
      </w:pPr>
    </w:p>
    <w:p>
      <w:pPr>
        <w:sectPr>
          <w:pgSz w:w="11900" w:h="16838" w:orient="portrait"/>
          <w:cols w:equalWidth="0" w:num="2">
            <w:col w:w="1800" w:space="120"/>
            <w:col w:w="9260"/>
          </w:cols>
          <w:pgMar w:left="320" w:top="115" w:right="39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2026</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215,372</w:t>
            </w:r>
          </w:p>
        </w:tc>
        <w:tc>
          <w:tcPr>
            <w:tcW w:w="0" w:type="dxa"/>
            <w:vAlign w:val="bottom"/>
          </w:tcPr>
          <w:p>
            <w:pPr>
              <w:spacing w:after="0"/>
              <w:rPr>
                <w:sz w:val="1"/>
                <w:szCs w:val="1"/>
                <w:color w:val="auto"/>
              </w:rPr>
            </w:pPr>
          </w:p>
        </w:tc>
      </w:tr>
      <w:tr>
        <w:trPr>
          <w:trHeight w:val="212"/>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242,002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177,195</w:t>
            </w: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11,805</w:t>
            </w:r>
          </w:p>
        </w:tc>
        <w:tc>
          <w:tcPr>
            <w:tcW w:w="0" w:type="dxa"/>
            <w:vAlign w:val="bottom"/>
          </w:tcPr>
          <w:p>
            <w:pPr>
              <w:spacing w:after="0"/>
              <w:rPr>
                <w:sz w:val="1"/>
                <w:szCs w:val="1"/>
                <w:color w:val="auto"/>
              </w:rPr>
            </w:pPr>
          </w:p>
        </w:tc>
      </w:tr>
      <w:tr>
        <w:trPr>
          <w:trHeight w:val="205"/>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610,911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404,372</w:t>
            </w: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326,757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76,961</w:t>
            </w:r>
          </w:p>
        </w:tc>
        <w:tc>
          <w:tcPr>
            <w:tcW w:w="0" w:type="dxa"/>
            <w:vAlign w:val="bottom"/>
          </w:tcPr>
          <w:p>
            <w:pPr>
              <w:spacing w:after="0"/>
              <w:rPr>
                <w:sz w:val="1"/>
                <w:szCs w:val="1"/>
                <w:color w:val="auto"/>
              </w:rPr>
            </w:pPr>
          </w:p>
        </w:tc>
      </w:tr>
      <w:tr>
        <w:trPr>
          <w:trHeight w:val="212"/>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12"/>
        </w:trPr>
        <w:tc>
          <w:tcPr>
            <w:tcW w:w="806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3"/>
        </w:trPr>
        <w:tc>
          <w:tcPr>
            <w:tcW w:w="8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937,907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24,628</w:t>
            </w:r>
          </w:p>
        </w:tc>
        <w:tc>
          <w:tcPr>
            <w:tcW w:w="100" w:type="dxa"/>
            <w:vAlign w:val="bottom"/>
          </w:tcPr>
          <w:p>
            <w:pPr>
              <w:spacing w:after="0"/>
              <w:rPr>
                <w:sz w:val="18"/>
                <w:szCs w:val="18"/>
                <w:color w:val="auto"/>
              </w:rPr>
            </w:pP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12,528</w:t>
            </w: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0" w:type="dxa"/>
            <w:vAlign w:val="bottom"/>
          </w:tcPr>
          <w:p>
            <w:pPr>
              <w:spacing w:after="0"/>
              <w:rPr>
                <w:sz w:val="1"/>
                <w:szCs w:val="1"/>
                <w:color w:val="auto"/>
              </w:rPr>
            </w:pPr>
          </w:p>
        </w:tc>
      </w:tr>
      <w:tr>
        <w:trPr>
          <w:trHeight w:val="212"/>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08"/>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59,771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37,550</w:t>
            </w:r>
          </w:p>
        </w:tc>
        <w:tc>
          <w:tcPr>
            <w:tcW w:w="0" w:type="dxa"/>
            <w:vAlign w:val="bottom"/>
          </w:tcPr>
          <w:p>
            <w:pPr>
              <w:spacing w:after="0"/>
              <w:rPr>
                <w:sz w:val="1"/>
                <w:szCs w:val="1"/>
                <w:color w:val="auto"/>
              </w:rPr>
            </w:pPr>
          </w:p>
        </w:tc>
      </w:tr>
      <w:tr>
        <w:trPr>
          <w:trHeight w:val="192"/>
        </w:trPr>
        <w:tc>
          <w:tcPr>
            <w:tcW w:w="80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5"/>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59,771</w:t>
            </w:r>
          </w:p>
        </w:tc>
        <w:tc>
          <w:tcPr>
            <w:tcW w:w="1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37,660</w:t>
            </w: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40"/>
              <w:spacing w:after="0" w:line="161"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3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December 31, 2025 and December 31, 2024</w:t>
            </w:r>
          </w:p>
        </w:tc>
        <w:tc>
          <w:tcPr>
            <w:tcW w:w="3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060" w:type="dxa"/>
            <w:vAlign w:val="bottom"/>
          </w:tcPr>
          <w:p>
            <w:pPr>
              <w:ind w:left="240"/>
              <w:spacing w:after="0" w:line="160" w:lineRule="exact"/>
              <w:rPr>
                <w:sz w:val="20"/>
                <w:szCs w:val="20"/>
                <w:color w:val="auto"/>
              </w:rPr>
            </w:pPr>
            <w:r>
              <w:rPr>
                <w:rFonts w:ascii="Arial" w:cs="Arial" w:eastAsia="Arial" w:hAnsi="Arial"/>
                <w:sz w:val="16"/>
                <w:szCs w:val="16"/>
                <w:color w:val="auto"/>
              </w:rPr>
              <w:t>Common stock, $0.0001 par value; 150,000,000 shares authorized; 25,195,092 shares issued and</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60" w:type="dxa"/>
            <w:vAlign w:val="bottom"/>
          </w:tcPr>
          <w:p>
            <w:pPr>
              <w:ind w:left="240"/>
              <w:spacing w:after="0" w:line="160" w:lineRule="exact"/>
              <w:rPr>
                <w:sz w:val="20"/>
                <w:szCs w:val="20"/>
                <w:color w:val="auto"/>
              </w:rPr>
            </w:pPr>
            <w:r>
              <w:rPr>
                <w:rFonts w:ascii="Arial" w:cs="Arial" w:eastAsia="Arial" w:hAnsi="Arial"/>
                <w:sz w:val="16"/>
                <w:szCs w:val="16"/>
                <w:color w:val="auto"/>
              </w:rPr>
              <w:t>outstanding as of December 31, 2025, and 19,422,358 shares issued and outstanding as of December 31,</w:t>
            </w: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8060" w:type="dxa"/>
            <w:vAlign w:val="bottom"/>
          </w:tcPr>
          <w:p>
            <w:pPr>
              <w:ind w:left="240"/>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2,017,566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1,281,522</w:t>
            </w:r>
          </w:p>
        </w:tc>
        <w:tc>
          <w:tcPr>
            <w:tcW w:w="0" w:type="dxa"/>
            <w:vAlign w:val="bottom"/>
          </w:tcPr>
          <w:p>
            <w:pPr>
              <w:spacing w:after="0"/>
              <w:rPr>
                <w:sz w:val="1"/>
                <w:szCs w:val="1"/>
                <w:color w:val="auto"/>
              </w:rPr>
            </w:pPr>
          </w:p>
        </w:tc>
      </w:tr>
      <w:tr>
        <w:trPr>
          <w:trHeight w:val="212"/>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(1,140,008)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(836,740)</w:t>
            </w:r>
          </w:p>
        </w:tc>
        <w:tc>
          <w:tcPr>
            <w:tcW w:w="0" w:type="dxa"/>
            <w:vAlign w:val="bottom"/>
          </w:tcPr>
          <w:p>
            <w:pPr>
              <w:spacing w:after="0"/>
              <w:rPr>
                <w:sz w:val="1"/>
                <w:szCs w:val="1"/>
                <w:color w:val="auto"/>
              </w:rPr>
            </w:pPr>
          </w:p>
        </w:tc>
      </w:tr>
      <w:tr>
        <w:trPr>
          <w:trHeight w:val="214"/>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gain</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05"/>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878,136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445,450</w:t>
            </w:r>
          </w:p>
        </w:tc>
        <w:tc>
          <w:tcPr>
            <w:tcW w:w="0" w:type="dxa"/>
            <w:vAlign w:val="bottom"/>
          </w:tcPr>
          <w:p>
            <w:pPr>
              <w:spacing w:after="0"/>
              <w:rPr>
                <w:sz w:val="1"/>
                <w:szCs w:val="1"/>
                <w:color w:val="auto"/>
              </w:rPr>
            </w:pPr>
          </w:p>
        </w:tc>
      </w:tr>
      <w:tr>
        <w:trPr>
          <w:trHeight w:val="233"/>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937,907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06"/>
        </w:trPr>
        <w:tc>
          <w:tcPr>
            <w:tcW w:w="6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r>
      <w:tr>
        <w:trPr>
          <w:trHeight w:val="20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86,766</w:t>
            </w:r>
          </w:p>
        </w:tc>
      </w:tr>
      <w:tr>
        <w:trPr>
          <w:trHeight w:val="212"/>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42,054</w:t>
            </w:r>
          </w:p>
        </w:tc>
      </w:tr>
      <w:tr>
        <w:trPr>
          <w:trHeight w:val="208"/>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128,820</w:t>
            </w:r>
          </w:p>
        </w:tc>
      </w:tr>
      <w:tr>
        <w:trPr>
          <w:trHeight w:val="205"/>
        </w:trPr>
        <w:tc>
          <w:tcPr>
            <w:tcW w:w="64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(326,198)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(200,165)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(126,373)</w:t>
            </w: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2"/>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r>
      <w:tr>
        <w:trPr>
          <w:trHeight w:val="206"/>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r>
      <w:tr>
        <w:trPr>
          <w:trHeight w:val="208"/>
        </w:trPr>
        <w:tc>
          <w:tcPr>
            <w:tcW w:w="6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(182,819)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(123,277)</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64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22,504,676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17,906,794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6,594,316</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PRAXIS PRECISION MEDICINES, INC.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06"/>
        </w:trPr>
        <w:tc>
          <w:tcPr>
            <w:tcW w:w="67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2023</w:t>
            </w:r>
          </w:p>
        </w:tc>
      </w:tr>
      <w:tr>
        <w:trPr>
          <w:trHeight w:val="20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(303,268)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(123,277)</w:t>
            </w:r>
          </w:p>
        </w:tc>
      </w:tr>
      <w:tr>
        <w:trPr>
          <w:trHeight w:val="212"/>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unrealized gain (loss) on marketable securities, net of tax</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(123,104)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83185</wp:posOffset>
            </wp:positionV>
            <wp:extent cx="39560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5605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2"/>
                <w:szCs w:val="12"/>
                <w:color w:val="auto"/>
              </w:rPr>
            </w:pPr>
          </w:p>
        </w:tc>
        <w:tc>
          <w:tcPr>
            <w:tcW w:w="780" w:type="dxa"/>
            <w:vAlign w:val="bottom"/>
            <w:vMerge w:val="restart"/>
          </w:tcPr>
          <w:p>
            <w:pPr>
              <w:jc w:val="center"/>
              <w:ind w:right="118"/>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64"/>
        </w:trPr>
        <w:tc>
          <w:tcPr>
            <w:tcW w:w="5020" w:type="dxa"/>
            <w:vAlign w:val="bottom"/>
          </w:tcPr>
          <w:p>
            <w:pPr>
              <w:spacing w:after="0"/>
              <w:rPr>
                <w:sz w:val="14"/>
                <w:szCs w:val="14"/>
                <w:color w:val="auto"/>
              </w:rPr>
            </w:pPr>
          </w:p>
        </w:tc>
        <w:tc>
          <w:tcPr>
            <w:tcW w:w="1780" w:type="dxa"/>
            <w:vAlign w:val="bottom"/>
            <w:gridSpan w:val="3"/>
          </w:tcPr>
          <w:p>
            <w:pPr>
              <w:jc w:val="right"/>
              <w:ind w:right="258"/>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0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Paid-In</w:t>
            </w: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40" w:type="dxa"/>
            <w:vAlign w:val="bottom"/>
            <w:gridSpan w:val="3"/>
          </w:tcPr>
          <w:p>
            <w:pPr>
              <w:ind w:left="20"/>
              <w:spacing w:after="0" w:line="54" w:lineRule="exact"/>
              <w:rPr>
                <w:sz w:val="20"/>
                <w:szCs w:val="20"/>
                <w:color w:val="auto"/>
              </w:rPr>
            </w:pPr>
            <w:r>
              <w:rPr>
                <w:rFonts w:ascii="Arial" w:cs="Arial" w:eastAsia="Arial" w:hAnsi="Arial"/>
                <w:sz w:val="6"/>
                <w:szCs w:val="6"/>
                <w:b w:val="1"/>
                <w:bCs w:val="1"/>
                <w:color w:val="auto"/>
              </w:rPr>
              <w:t>Comprehensive</w:t>
            </w:r>
          </w:p>
        </w:tc>
        <w:tc>
          <w:tcPr>
            <w:tcW w:w="98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8"/>
        </w:trPr>
        <w:tc>
          <w:tcPr>
            <w:tcW w:w="502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Gain (Loss)</w:t>
            </w:r>
          </w:p>
        </w:tc>
        <w:tc>
          <w:tcPr>
            <w:tcW w:w="200" w:type="dxa"/>
            <w:vAlign w:val="bottom"/>
          </w:tcPr>
          <w:p>
            <w:pPr>
              <w:spacing w:after="0"/>
              <w:rPr>
                <w:sz w:val="15"/>
                <w:szCs w:val="15"/>
                <w:color w:val="auto"/>
              </w:rPr>
            </w:pPr>
          </w:p>
        </w:tc>
        <w:tc>
          <w:tcPr>
            <w:tcW w:w="780" w:type="dxa"/>
            <w:vAlign w:val="bottom"/>
          </w:tcPr>
          <w:p>
            <w:pPr>
              <w:jc w:val="center"/>
              <w:ind w:right="138"/>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8"/>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3,292,163</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78"/>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606,918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(530,644)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76,106</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24,857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24,857</w:t>
            </w:r>
          </w:p>
        </w:tc>
        <w:tc>
          <w:tcPr>
            <w:tcW w:w="0" w:type="dxa"/>
            <w:vAlign w:val="bottom"/>
          </w:tcPr>
          <w:p>
            <w:pPr>
              <w:spacing w:after="0"/>
              <w:rPr>
                <w:sz w:val="1"/>
                <w:szCs w:val="1"/>
                <w:color w:val="auto"/>
              </w:rPr>
            </w:pPr>
          </w:p>
        </w:tc>
      </w:tr>
      <w:tr>
        <w:trPr>
          <w:trHeight w:val="133"/>
        </w:trPr>
        <w:tc>
          <w:tcPr>
            <w:tcW w:w="50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Issuance of common stock from follow-on public offering and accompanying pre-funded</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warrants, net of underwriting discounts, commissions and offering costs of $4,484</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4,296,646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63,439</w:t>
            </w:r>
          </w:p>
        </w:tc>
        <w:tc>
          <w:tcPr>
            <w:tcW w:w="0" w:type="dxa"/>
            <w:vAlign w:val="bottom"/>
          </w:tcPr>
          <w:p>
            <w:pPr>
              <w:spacing w:after="0"/>
              <w:rPr>
                <w:sz w:val="1"/>
                <w:szCs w:val="1"/>
                <w:color w:val="auto"/>
              </w:rPr>
            </w:pPr>
          </w:p>
        </w:tc>
      </w:tr>
      <w:tr>
        <w:trPr>
          <w:trHeight w:val="129"/>
        </w:trPr>
        <w:tc>
          <w:tcPr>
            <w:tcW w:w="5020" w:type="dxa"/>
            <w:vAlign w:val="bottom"/>
          </w:tcPr>
          <w:p>
            <w:pPr>
              <w:ind w:left="20"/>
              <w:spacing w:after="0" w:line="129" w:lineRule="exact"/>
              <w:rPr>
                <w:sz w:val="20"/>
                <w:szCs w:val="20"/>
                <w:color w:val="auto"/>
              </w:rPr>
            </w:pPr>
            <w:r>
              <w:rPr>
                <w:rFonts w:ascii="Arial" w:cs="Arial" w:eastAsia="Arial" w:hAnsi="Arial"/>
                <w:sz w:val="12"/>
                <w:szCs w:val="12"/>
                <w:color w:val="auto"/>
              </w:rPr>
              <w:t>Issuance of common stock from at-the-market public offerings, net of issuance and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Arial" w:cs="Arial" w:eastAsia="Arial" w:hAnsi="Arial"/>
                <w:sz w:val="12"/>
                <w:szCs w:val="12"/>
                <w:color w:val="auto"/>
              </w:rPr>
              <w:t>commission costs of $683</w:t>
            </w:r>
          </w:p>
        </w:tc>
        <w:tc>
          <w:tcPr>
            <w:tcW w:w="960" w:type="dxa"/>
            <w:vAlign w:val="bottom"/>
          </w:tcPr>
          <w:p>
            <w:pPr>
              <w:jc w:val="right"/>
              <w:spacing w:after="0"/>
              <w:rPr>
                <w:sz w:val="20"/>
                <w:szCs w:val="20"/>
                <w:color w:val="auto"/>
              </w:rPr>
            </w:pPr>
            <w:r>
              <w:rPr>
                <w:rFonts w:ascii="Arial" w:cs="Arial" w:eastAsia="Arial" w:hAnsi="Arial"/>
                <w:sz w:val="12"/>
                <w:szCs w:val="12"/>
                <w:color w:val="auto"/>
              </w:rPr>
              <w:t>1,165,247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28,090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28,092</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purchase plan</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24,690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60" w:type="dxa"/>
            <w:vAlign w:val="bottom"/>
          </w:tcPr>
          <w:p>
            <w:pPr>
              <w:jc w:val="right"/>
              <w:spacing w:after="0"/>
              <w:rPr>
                <w:sz w:val="20"/>
                <w:szCs w:val="20"/>
                <w:color w:val="auto"/>
              </w:rPr>
            </w:pPr>
            <w:r>
              <w:rPr>
                <w:rFonts w:ascii="Arial" w:cs="Arial" w:eastAsia="Arial" w:hAnsi="Arial"/>
                <w:sz w:val="12"/>
                <w:szCs w:val="12"/>
                <w:color w:val="auto"/>
              </w:rPr>
              <w:t>13,293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60" w:type="dxa"/>
            <w:vAlign w:val="bottom"/>
          </w:tcPr>
          <w:p>
            <w:pPr>
              <w:jc w:val="right"/>
              <w:spacing w:after="0"/>
              <w:rPr>
                <w:sz w:val="20"/>
                <w:szCs w:val="20"/>
                <w:color w:val="auto"/>
              </w:rPr>
            </w:pPr>
            <w:r>
              <w:rPr>
                <w:rFonts w:ascii="Arial" w:cs="Arial" w:eastAsia="Arial" w:hAnsi="Arial"/>
                <w:sz w:val="12"/>
                <w:szCs w:val="12"/>
                <w:color w:val="auto"/>
              </w:rPr>
              <w:t>3,281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gain (loss) on marketable securities, net of tax</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(123,277)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(123,277)</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8,791,877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78"/>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723,577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(653,921)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69,669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Stock-based compensation expense</w:t>
            </w:r>
          </w:p>
        </w:tc>
        <w:tc>
          <w:tcPr>
            <w:tcW w:w="104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tcBorders>
              <w:top w:val="single" w:sz="8" w:color="CCEEFF"/>
            </w:tcBorders>
            <w:vMerge w:val="continue"/>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41,360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41,360</w:t>
            </w:r>
          </w:p>
        </w:tc>
        <w:tc>
          <w:tcPr>
            <w:tcW w:w="0" w:type="dxa"/>
            <w:vAlign w:val="bottom"/>
          </w:tcPr>
          <w:p>
            <w:pPr>
              <w:spacing w:after="0"/>
              <w:rPr>
                <w:sz w:val="1"/>
                <w:szCs w:val="1"/>
                <w:color w:val="auto"/>
              </w:rPr>
            </w:pPr>
          </w:p>
        </w:tc>
      </w:tr>
      <w:tr>
        <w:trPr>
          <w:trHeight w:val="133"/>
        </w:trPr>
        <w:tc>
          <w:tcPr>
            <w:tcW w:w="50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Issuance of common stock from follow-on public offering and accompanying pre-funded</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warrants, net of underwriting discounts, commissions and offering costs of $24,849</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7,651,583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377,636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377,637</w:t>
            </w:r>
          </w:p>
        </w:tc>
        <w:tc>
          <w:tcPr>
            <w:tcW w:w="0" w:type="dxa"/>
            <w:vAlign w:val="bottom"/>
          </w:tcPr>
          <w:p>
            <w:pPr>
              <w:spacing w:after="0"/>
              <w:rPr>
                <w:sz w:val="1"/>
                <w:szCs w:val="1"/>
                <w:color w:val="auto"/>
              </w:rPr>
            </w:pPr>
          </w:p>
        </w:tc>
      </w:tr>
      <w:tr>
        <w:trPr>
          <w:trHeight w:val="129"/>
        </w:trPr>
        <w:tc>
          <w:tcPr>
            <w:tcW w:w="5020" w:type="dxa"/>
            <w:vAlign w:val="bottom"/>
          </w:tcPr>
          <w:p>
            <w:pPr>
              <w:ind w:left="20"/>
              <w:spacing w:after="0" w:line="129" w:lineRule="exact"/>
              <w:rPr>
                <w:sz w:val="20"/>
                <w:szCs w:val="20"/>
                <w:color w:val="auto"/>
              </w:rPr>
            </w:pPr>
            <w:r>
              <w:rPr>
                <w:rFonts w:ascii="Arial" w:cs="Arial" w:eastAsia="Arial" w:hAnsi="Arial"/>
                <w:sz w:val="12"/>
                <w:szCs w:val="12"/>
                <w:color w:val="auto"/>
              </w:rPr>
              <w:t>Issuance of common stock from at-the-market public offerings, net of issuance and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Arial" w:cs="Arial" w:eastAsia="Arial" w:hAnsi="Arial"/>
                <w:sz w:val="12"/>
                <w:szCs w:val="12"/>
                <w:color w:val="auto"/>
              </w:rPr>
              <w:t>commission costs of $3,258</w:t>
            </w:r>
          </w:p>
        </w:tc>
        <w:tc>
          <w:tcPr>
            <w:tcW w:w="960" w:type="dxa"/>
            <w:vAlign w:val="bottom"/>
          </w:tcPr>
          <w:p>
            <w:pPr>
              <w:jc w:val="right"/>
              <w:spacing w:after="0"/>
              <w:rPr>
                <w:sz w:val="20"/>
                <w:szCs w:val="20"/>
                <w:color w:val="auto"/>
              </w:rPr>
            </w:pPr>
            <w:r>
              <w:rPr>
                <w:rFonts w:ascii="Arial" w:cs="Arial" w:eastAsia="Arial" w:hAnsi="Arial"/>
                <w:sz w:val="12"/>
                <w:szCs w:val="12"/>
                <w:color w:val="auto"/>
              </w:rPr>
              <w:t>1,823,652</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119,359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119,359</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from exercise of pre-funded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622,123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under employee stock purchase plan</w:t>
            </w:r>
          </w:p>
        </w:tc>
        <w:tc>
          <w:tcPr>
            <w:tcW w:w="960" w:type="dxa"/>
            <w:vAlign w:val="bottom"/>
          </w:tcPr>
          <w:p>
            <w:pPr>
              <w:jc w:val="right"/>
              <w:spacing w:after="0"/>
              <w:rPr>
                <w:sz w:val="20"/>
                <w:szCs w:val="20"/>
                <w:color w:val="auto"/>
              </w:rPr>
            </w:pPr>
            <w:r>
              <w:rPr>
                <w:rFonts w:ascii="Arial" w:cs="Arial" w:eastAsia="Arial" w:hAnsi="Arial"/>
                <w:sz w:val="12"/>
                <w:szCs w:val="12"/>
                <w:color w:val="auto"/>
              </w:rPr>
              <w:t>31,381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544</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from a collaboration and license agreement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443,253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17,265</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60" w:type="dxa"/>
            <w:vAlign w:val="bottom"/>
          </w:tcPr>
          <w:p>
            <w:pPr>
              <w:jc w:val="right"/>
              <w:spacing w:after="0"/>
              <w:rPr>
                <w:sz w:val="20"/>
                <w:szCs w:val="20"/>
                <w:color w:val="auto"/>
              </w:rPr>
            </w:pPr>
            <w:r>
              <w:rPr>
                <w:rFonts w:ascii="Arial" w:cs="Arial" w:eastAsia="Arial" w:hAnsi="Arial"/>
                <w:sz w:val="12"/>
                <w:szCs w:val="12"/>
                <w:color w:val="auto"/>
              </w:rPr>
              <w:t>19,475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(6,163)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60" w:type="dxa"/>
            <w:vAlign w:val="bottom"/>
          </w:tcPr>
          <w:p>
            <w:pPr>
              <w:jc w:val="right"/>
              <w:spacing w:after="0"/>
              <w:rPr>
                <w:sz w:val="20"/>
                <w:szCs w:val="20"/>
                <w:color w:val="auto"/>
              </w:rPr>
            </w:pPr>
            <w:r>
              <w:rPr>
                <w:rFonts w:ascii="Arial" w:cs="Arial" w:eastAsia="Arial" w:hAnsi="Arial"/>
                <w:sz w:val="12"/>
                <w:szCs w:val="12"/>
                <w:color w:val="auto"/>
              </w:rPr>
              <w:t>45,177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2,089</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gain (loss) on marketable securities, net of tax</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(182,819)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(182,819)</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19,422,358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78"/>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1,281,522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(836,740)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445,450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Stock-based compensation expense</w:t>
            </w:r>
          </w:p>
        </w:tc>
        <w:tc>
          <w:tcPr>
            <w:tcW w:w="104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tcBorders>
              <w:top w:val="single" w:sz="8" w:color="CCEEFF"/>
            </w:tcBorders>
            <w:vMerge w:val="continue"/>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33,941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33,941</w:t>
            </w:r>
          </w:p>
        </w:tc>
        <w:tc>
          <w:tcPr>
            <w:tcW w:w="0" w:type="dxa"/>
            <w:vAlign w:val="bottom"/>
          </w:tcPr>
          <w:p>
            <w:pPr>
              <w:spacing w:after="0"/>
              <w:rPr>
                <w:sz w:val="1"/>
                <w:szCs w:val="1"/>
                <w:color w:val="auto"/>
              </w:rPr>
            </w:pPr>
          </w:p>
        </w:tc>
      </w:tr>
      <w:tr>
        <w:trPr>
          <w:trHeight w:val="133"/>
        </w:trPr>
        <w:tc>
          <w:tcPr>
            <w:tcW w:w="50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Issuance of common stock from follow-on public offering and accompanying pre-funded</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warrants, net of underwriting discounts, commissions and offering costs of $36,635</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3,527,072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567,115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567,116</w:t>
            </w:r>
          </w:p>
        </w:tc>
        <w:tc>
          <w:tcPr>
            <w:tcW w:w="0" w:type="dxa"/>
            <w:vAlign w:val="bottom"/>
          </w:tcPr>
          <w:p>
            <w:pPr>
              <w:spacing w:after="0"/>
              <w:rPr>
                <w:sz w:val="1"/>
                <w:szCs w:val="1"/>
                <w:color w:val="auto"/>
              </w:rPr>
            </w:pPr>
          </w:p>
        </w:tc>
      </w:tr>
      <w:tr>
        <w:trPr>
          <w:trHeight w:val="129"/>
        </w:trPr>
        <w:tc>
          <w:tcPr>
            <w:tcW w:w="5020" w:type="dxa"/>
            <w:vAlign w:val="bottom"/>
          </w:tcPr>
          <w:p>
            <w:pPr>
              <w:ind w:left="20"/>
              <w:spacing w:after="0" w:line="129" w:lineRule="exact"/>
              <w:rPr>
                <w:sz w:val="20"/>
                <w:szCs w:val="20"/>
                <w:color w:val="auto"/>
              </w:rPr>
            </w:pPr>
            <w:r>
              <w:rPr>
                <w:rFonts w:ascii="Arial" w:cs="Arial" w:eastAsia="Arial" w:hAnsi="Arial"/>
                <w:sz w:val="12"/>
                <w:szCs w:val="12"/>
                <w:color w:val="auto"/>
              </w:rPr>
              <w:t>Issuance of common stock from at-the-market public offerings, net of issuance and</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Arial" w:cs="Arial" w:eastAsia="Arial" w:hAnsi="Arial"/>
                <w:sz w:val="12"/>
                <w:szCs w:val="12"/>
                <w:color w:val="auto"/>
              </w:rPr>
              <w:t>commission costs of $2,767</w:t>
            </w:r>
          </w:p>
        </w:tc>
        <w:tc>
          <w:tcPr>
            <w:tcW w:w="960" w:type="dxa"/>
            <w:vAlign w:val="bottom"/>
          </w:tcPr>
          <w:p>
            <w:pPr>
              <w:jc w:val="right"/>
              <w:spacing w:after="0"/>
              <w:rPr>
                <w:sz w:val="20"/>
                <w:szCs w:val="20"/>
                <w:color w:val="auto"/>
              </w:rPr>
            </w:pPr>
            <w:r>
              <w:rPr>
                <w:rFonts w:ascii="Arial" w:cs="Arial" w:eastAsia="Arial" w:hAnsi="Arial"/>
                <w:sz w:val="12"/>
                <w:szCs w:val="12"/>
                <w:color w:val="auto"/>
              </w:rPr>
              <w:t>1,755,636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123,803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123,803</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from exercise of pre-funded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200,349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under employee stock purchase plan</w:t>
            </w:r>
          </w:p>
        </w:tc>
        <w:tc>
          <w:tcPr>
            <w:tcW w:w="960" w:type="dxa"/>
            <w:vAlign w:val="bottom"/>
          </w:tcPr>
          <w:p>
            <w:pPr>
              <w:jc w:val="right"/>
              <w:spacing w:after="0"/>
              <w:rPr>
                <w:sz w:val="20"/>
                <w:szCs w:val="20"/>
                <w:color w:val="auto"/>
              </w:rPr>
            </w:pPr>
            <w:r>
              <w:rPr>
                <w:rFonts w:ascii="Arial" w:cs="Arial" w:eastAsia="Arial" w:hAnsi="Arial"/>
                <w:sz w:val="12"/>
                <w:szCs w:val="12"/>
                <w:color w:val="auto"/>
              </w:rPr>
              <w:t>22,691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717</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Vesting of restricted stock units</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78,281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60" w:type="dxa"/>
            <w:vAlign w:val="bottom"/>
          </w:tcPr>
          <w:p>
            <w:pPr>
              <w:jc w:val="right"/>
              <w:spacing w:after="0"/>
              <w:rPr>
                <w:sz w:val="20"/>
                <w:szCs w:val="20"/>
                <w:color w:val="auto"/>
              </w:rPr>
            </w:pPr>
            <w:r>
              <w:rPr>
                <w:rFonts w:ascii="Arial" w:cs="Arial" w:eastAsia="Arial" w:hAnsi="Arial"/>
                <w:sz w:val="12"/>
                <w:szCs w:val="12"/>
                <w:color w:val="auto"/>
              </w:rPr>
              <w:t>(24,333)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(2,089)</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213,038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12,557</w:t>
            </w:r>
          </w:p>
        </w:tc>
        <w:tc>
          <w:tcPr>
            <w:tcW w:w="0" w:type="dxa"/>
            <w:vAlign w:val="bottom"/>
          </w:tcPr>
          <w:p>
            <w:pPr>
              <w:spacing w:after="0"/>
              <w:rPr>
                <w:sz w:val="1"/>
                <w:szCs w:val="1"/>
                <w:color w:val="auto"/>
              </w:rPr>
            </w:pPr>
          </w:p>
        </w:tc>
      </w:tr>
      <w:tr>
        <w:trPr>
          <w:trHeight w:val="169"/>
        </w:trPr>
        <w:tc>
          <w:tcPr>
            <w:tcW w:w="5020" w:type="dxa"/>
            <w:vAlign w:val="bottom"/>
          </w:tcPr>
          <w:p>
            <w:pPr>
              <w:ind w:left="20"/>
              <w:spacing w:after="0"/>
              <w:rPr>
                <w:sz w:val="20"/>
                <w:szCs w:val="20"/>
                <w:color w:val="auto"/>
              </w:rPr>
            </w:pPr>
            <w:r>
              <w:rPr>
                <w:rFonts w:ascii="Arial" w:cs="Arial" w:eastAsia="Arial" w:hAnsi="Arial"/>
                <w:sz w:val="12"/>
                <w:szCs w:val="12"/>
                <w:color w:val="auto"/>
              </w:rPr>
              <w:t>Change in unrealized gain (loss) on marketable securities, net of tax</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173"/>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(303,268)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(303,268)</w:t>
            </w:r>
          </w:p>
        </w:tc>
        <w:tc>
          <w:tcPr>
            <w:tcW w:w="0" w:type="dxa"/>
            <w:vAlign w:val="bottom"/>
          </w:tcPr>
          <w:p>
            <w:pPr>
              <w:spacing w:after="0"/>
              <w:rPr>
                <w:sz w:val="1"/>
                <w:szCs w:val="1"/>
                <w:color w:val="auto"/>
              </w:rPr>
            </w:pPr>
          </w:p>
        </w:tc>
      </w:tr>
      <w:tr>
        <w:trPr>
          <w:trHeight w:val="171"/>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2025</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25,195,092</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2,017,566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(1,140,008)</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878,136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(303,268)</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(182,819)</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(123,277)</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24,857</w:t>
            </w:r>
          </w:p>
        </w:tc>
        <w:tc>
          <w:tcPr>
            <w:tcW w:w="0" w:type="dxa"/>
            <w:vAlign w:val="bottom"/>
          </w:tcPr>
          <w:p>
            <w:pPr>
              <w:spacing w:after="0"/>
              <w:rPr>
                <w:sz w:val="1"/>
                <w:szCs w:val="1"/>
                <w:color w:val="auto"/>
              </w:rPr>
            </w:pPr>
          </w:p>
        </w:tc>
      </w:tr>
      <w:tr>
        <w:trPr>
          <w:trHeight w:val="212"/>
        </w:trPr>
        <w:tc>
          <w:tcPr>
            <w:tcW w:w="642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2"/>
        </w:trPr>
        <w:tc>
          <w:tcPr>
            <w:tcW w:w="6420" w:type="dxa"/>
            <w:vAlign w:val="bottom"/>
          </w:tcPr>
          <w:p>
            <w:pPr>
              <w:ind w:left="240"/>
              <w:spacing w:after="0"/>
              <w:rPr>
                <w:sz w:val="20"/>
                <w:szCs w:val="20"/>
                <w:color w:val="auto"/>
              </w:rPr>
            </w:pPr>
            <w:r>
              <w:rPr>
                <w:rFonts w:ascii="Arial" w:cs="Arial" w:eastAsia="Arial" w:hAnsi="Arial"/>
                <w:sz w:val="16"/>
                <w:szCs w:val="16"/>
                <w:color w:val="auto"/>
              </w:rPr>
              <w:t>Non-cash collaboration and license agreement expense</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non-cash adjustments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42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0" w:type="dxa"/>
            <w:vAlign w:val="bottom"/>
          </w:tcPr>
          <w:p>
            <w:pPr>
              <w:spacing w:after="0"/>
              <w:rPr>
                <w:sz w:val="1"/>
                <w:szCs w:val="1"/>
                <w:color w:val="auto"/>
              </w:rPr>
            </w:pPr>
          </w:p>
        </w:tc>
      </w:tr>
      <w:tr>
        <w:trPr>
          <w:trHeight w:val="212"/>
        </w:trPr>
        <w:tc>
          <w:tcPr>
            <w:tcW w:w="642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(8,855)</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212"/>
        </w:trPr>
        <w:tc>
          <w:tcPr>
            <w:tcW w:w="642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212"/>
        </w:trPr>
        <w:tc>
          <w:tcPr>
            <w:tcW w:w="6420" w:type="dxa"/>
            <w:vAlign w:val="bottom"/>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4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(249,068)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(131,757)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(111,136)</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(623,812)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(371,519)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312,720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0" w:type="dxa"/>
            <w:vAlign w:val="bottom"/>
          </w:tcPr>
          <w:p>
            <w:pPr>
              <w:spacing w:after="0"/>
              <w:rPr>
                <w:sz w:val="1"/>
                <w:szCs w:val="1"/>
                <w:color w:val="auto"/>
              </w:rPr>
            </w:pPr>
          </w:p>
        </w:tc>
      </w:tr>
      <w:tr>
        <w:trPr>
          <w:trHeight w:val="205"/>
        </w:trPr>
        <w:tc>
          <w:tcPr>
            <w:tcW w:w="6420" w:type="dxa"/>
            <w:vAlign w:val="bottom"/>
          </w:tcPr>
          <w:p>
            <w:pPr>
              <w:ind w:left="66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(311,148)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(248,494)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38,950</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420" w:type="dxa"/>
            <w:vAlign w:val="bottom"/>
          </w:tcPr>
          <w:p>
            <w:pPr>
              <w:ind w:left="20"/>
              <w:spacing w:after="0" w:line="160" w:lineRule="exact"/>
              <w:rPr>
                <w:sz w:val="20"/>
                <w:szCs w:val="20"/>
                <w:color w:val="auto"/>
              </w:rPr>
            </w:pPr>
            <w:r>
              <w:rPr>
                <w:rFonts w:ascii="Arial" w:cs="Arial" w:eastAsia="Arial" w:hAnsi="Arial"/>
                <w:sz w:val="16"/>
                <w:szCs w:val="16"/>
                <w:color w:val="auto"/>
              </w:rPr>
              <w:t>Issuance of common stock from follow-on public offering and accompanying pre-funded</w:t>
            </w: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567,115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377,636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63,439</w:t>
            </w:r>
          </w:p>
        </w:tc>
        <w:tc>
          <w:tcPr>
            <w:tcW w:w="0" w:type="dxa"/>
            <w:vAlign w:val="bottom"/>
          </w:tcPr>
          <w:p>
            <w:pPr>
              <w:spacing w:after="0"/>
              <w:rPr>
                <w:sz w:val="1"/>
                <w:szCs w:val="1"/>
                <w:color w:val="auto"/>
              </w:rPr>
            </w:pP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warrants, net of underwriting discounts, commissions and offering costs</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from collaboration and license agreement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and commission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123,873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119,597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28,153</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options and employee stock purchase plan purchases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8"/>
        </w:trPr>
        <w:tc>
          <w:tcPr>
            <w:tcW w:w="64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702,173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91,871</w:t>
            </w:r>
          </w:p>
        </w:tc>
        <w:tc>
          <w:tcPr>
            <w:tcW w:w="0" w:type="dxa"/>
            <w:vAlign w:val="bottom"/>
          </w:tcPr>
          <w:p>
            <w:pPr>
              <w:spacing w:after="0"/>
              <w:rPr>
                <w:sz w:val="1"/>
                <w:szCs w:val="1"/>
                <w:color w:val="auto"/>
              </w:rPr>
            </w:pPr>
          </w:p>
        </w:tc>
      </w:tr>
      <w:tr>
        <w:trPr>
          <w:trHeight w:val="205"/>
        </w:trPr>
        <w:tc>
          <w:tcPr>
            <w:tcW w:w="6420" w:type="dxa"/>
            <w:vAlign w:val="bottom"/>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141,957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134,072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19,685</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62,031</w:t>
            </w: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357,745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215,788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81,716</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357,329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81,300</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8"/>
        </w:trPr>
        <w:tc>
          <w:tcPr>
            <w:tcW w:w="6420" w:type="dxa"/>
            <w:vAlign w:val="bottom"/>
          </w:tcPr>
          <w:p>
            <w:pPr>
              <w:ind w:left="66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357,745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215,788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81,716</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Issuance costs from at-the-market offerings included in accrued expenses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Offering costs from follow-on public offering included in accounts payable</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14" w:lineRule="exact"/>
        <w:rPr>
          <w:sz w:val="20"/>
          <w:szCs w:val="20"/>
          <w:color w:val="auto"/>
        </w:rPr>
      </w:pPr>
    </w:p>
    <w:p>
      <w:pPr>
        <w:ind w:right="300" w:firstLine="439"/>
        <w:spacing w:after="0" w:line="251" w:lineRule="auto"/>
        <w:rPr>
          <w:sz w:val="20"/>
          <w:szCs w:val="20"/>
          <w:color w:val="auto"/>
        </w:rPr>
      </w:pPr>
      <w:r>
        <w:rPr>
          <w:rFonts w:ascii="Arial" w:cs="Arial" w:eastAsia="Arial" w:hAnsi="Arial"/>
          <w:sz w:val="18"/>
          <w:szCs w:val="18"/>
          <w:color w:val="auto"/>
        </w:rPr>
        <w:t>Praxis Precision Medicines, Inc. (“Praxis” or the “Company”) is a fully integrated, leading central nervous system ("CNS") precision neuroscience biopharmaceutical company translating insights from genetic epilepsies into the development of therapies for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35" w:lineRule="exact"/>
        <w:rPr>
          <w:sz w:val="20"/>
          <w:szCs w:val="20"/>
          <w:color w:val="auto"/>
        </w:rPr>
      </w:pPr>
    </w:p>
    <w:p>
      <w:pPr>
        <w:ind w:left="640" w:right="40" w:hanging="314"/>
        <w:spacing w:after="0" w:line="276"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applies a series of computational and experimental tools to develop orally available precision therapies</w:t>
      </w:r>
    </w:p>
    <w:p>
      <w:pPr>
        <w:spacing w:after="0" w:line="109" w:lineRule="exact"/>
        <w:rPr>
          <w:rFonts w:ascii="Arial" w:cs="Arial" w:eastAsia="Arial" w:hAnsi="Arial"/>
          <w:sz w:val="18"/>
          <w:szCs w:val="18"/>
          <w:color w:val="auto"/>
        </w:rPr>
      </w:pPr>
    </w:p>
    <w:p>
      <w:pPr>
        <w:ind w:left="640" w:right="420" w:hanging="314"/>
        <w:spacing w:after="0" w:line="276"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63"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w:t>
      </w:r>
    </w:p>
    <w:p>
      <w:pPr>
        <w:spacing w:after="0" w:line="182" w:lineRule="exact"/>
        <w:rPr>
          <w:sz w:val="20"/>
          <w:szCs w:val="20"/>
          <w:color w:val="auto"/>
        </w:rPr>
      </w:pPr>
    </w:p>
    <w:p>
      <w:pPr>
        <w:ind w:right="180" w:firstLine="439"/>
        <w:spacing w:after="0" w:line="254"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from the sale of common stock through an initial public offering ("IPO"), at-the-market offerings under its shelf registration statement, and follow-on public offerings of common stock and pre-funded warrants to purchase common stock. From inception through December 31, 2025, the Company raised $1.8 billion in aggregate cash proceeds from these transactions, net of issuance costs.</w:t>
      </w:r>
    </w:p>
    <w:p>
      <w:pPr>
        <w:spacing w:after="0" w:line="183"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The Company is subject to risks and uncertainties common to clinical-stage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may require significant additional research and development efforts, including preclinical and clinical testing and regulatory approval, prior to commercialization. These efforts require significant amounts of capital, adequate personnel and infrastructure and extensive compliance-reporting capabilities. Even if the Company’s product development efforts are successful, it is uncertain when, if ever, the Company will realize revenue from product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ind w:right="200" w:firstLine="439"/>
        <w:spacing w:after="0" w:line="256"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 consolidated financial statements are issued.</w:t>
      </w:r>
    </w:p>
    <w:p>
      <w:pPr>
        <w:spacing w:after="0" w:line="182" w:lineRule="exact"/>
        <w:rPr>
          <w:sz w:val="20"/>
          <w:szCs w:val="20"/>
          <w:color w:val="auto"/>
        </w:rPr>
      </w:pPr>
    </w:p>
    <w:p>
      <w:pPr>
        <w:ind w:right="200" w:firstLine="439"/>
        <w:spacing w:after="0" w:line="261" w:lineRule="auto"/>
        <w:rPr>
          <w:sz w:val="20"/>
          <w:szCs w:val="20"/>
          <w:color w:val="auto"/>
        </w:rPr>
      </w:pPr>
      <w:r>
        <w:rPr>
          <w:rFonts w:ascii="Arial" w:cs="Arial" w:eastAsia="Arial" w:hAnsi="Arial"/>
          <w:sz w:val="18"/>
          <w:szCs w:val="18"/>
          <w:color w:val="auto"/>
        </w:rPr>
        <w:t>The Company has incurred recurring losses since its inception, including a net loss of $303.3 million for the year ended December 31, 2025. In addition, as of December 31, 2025, the Company had an accumulated deficit of $1.1 billion. The Company expects to continue to generate operating losses for the foreseeable future.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The Company expects that its cash, cash equivalents and marketable securities as of December 31, 2025 of $926.1 million, together with net proceeds of $621.2 million from the January 2026 financing (Note 17), will be sufficient to fund its operating expenditures and capital expenditure requirements necessary to advance its program activities for at least one year from the date of issuance of these consolidated financial statements. The future viability of the Company is dependent on its ability to achieve regulatory approvals of its new drug applications, which are subject to risk and timing uncertainty, and raising additional capital to finance its operations, if needed.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0" w:lineRule="exact"/>
        <w:rPr>
          <w:sz w:val="20"/>
          <w:szCs w:val="20"/>
          <w:color w:val="auto"/>
        </w:rPr>
      </w:pPr>
    </w:p>
    <w:p>
      <w:pPr>
        <w:ind w:right="7280" w:firstLine="6"/>
        <w:spacing w:after="0" w:line="371" w:lineRule="auto"/>
        <w:tabs>
          <w:tab w:leader="none" w:pos="197"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20" w:firstLine="439"/>
        <w:spacing w:after="0" w:line="261"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2" w:lineRule="exact"/>
        <w:rPr>
          <w:sz w:val="20"/>
          <w:szCs w:val="20"/>
          <w:color w:val="auto"/>
        </w:rPr>
      </w:pPr>
    </w:p>
    <w:p>
      <w:pPr>
        <w:ind w:right="120" w:firstLine="439"/>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Praxis Security Corporation, Praxis Medicines International Holdings LLC and Praxis Precision Medicines India Private Limited. All intercompany transactions have been eliminated in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2"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2"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amounts held in interest-bearing insured liquid deposit funds and interest-bearing money market funds and government bonds with a maturity date of three months or less from the date of purchase. Cash equivalents are carried at cost, which approximates their fair market value.</w:t>
      </w:r>
    </w:p>
    <w:p>
      <w:pPr>
        <w:spacing w:after="0" w:line="182" w:lineRule="exact"/>
        <w:rPr>
          <w:sz w:val="20"/>
          <w:szCs w:val="20"/>
          <w:color w:val="auto"/>
        </w:rPr>
      </w:pPr>
    </w:p>
    <w:p>
      <w:pPr>
        <w:ind w:firstLine="439"/>
        <w:spacing w:after="0" w:line="276" w:lineRule="auto"/>
        <w:rPr>
          <w:sz w:val="20"/>
          <w:szCs w:val="20"/>
          <w:color w:val="auto"/>
        </w:rPr>
      </w:pPr>
      <w:r>
        <w:rPr>
          <w:rFonts w:ascii="Arial" w:cs="Arial" w:eastAsia="Arial" w:hAnsi="Arial"/>
          <w:sz w:val="18"/>
          <w:szCs w:val="18"/>
          <w:color w:val="auto"/>
        </w:rPr>
        <w:t>Restricted cash comprises letters of credit for the benefit of the landlord in connection with the Company’s lease facilities. Restricted cash is classified as either current or non-current based on the terms of the underlying lease arrangement.</w:t>
      </w:r>
    </w:p>
    <w:p>
      <w:pPr>
        <w:spacing w:after="0" w:line="56"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As of December 31, 2025 and 2024, the Company had restricted cash of $0.4 million and $0.4 million, respectively, held as letters of credit for the benefit of its current landlord. The Company's Boston, Massachusetts sublease expires on February 28, 2026, and the related letter of credit of $0.4 million was classified in current assets on the consolidated balance sheet as of December 31, 2025. The related letter of credit of $0.4 million was classified within other non-current assets on the consolidated balance sheet as of December 31, 2024.</w:t>
      </w:r>
    </w:p>
    <w:p>
      <w:pPr>
        <w:spacing w:after="0" w:line="182" w:lineRule="exact"/>
        <w:rPr>
          <w:sz w:val="20"/>
          <w:szCs w:val="20"/>
          <w:color w:val="auto"/>
        </w:rPr>
      </w:pPr>
    </w:p>
    <w:p>
      <w:pPr>
        <w:ind w:right="280" w:firstLine="439"/>
        <w:spacing w:after="0" w:line="276" w:lineRule="auto"/>
        <w:rPr>
          <w:sz w:val="20"/>
          <w:szCs w:val="20"/>
          <w:color w:val="auto"/>
        </w:rPr>
      </w:pPr>
      <w:r>
        <w:rPr>
          <w:rFonts w:ascii="Arial" w:cs="Arial" w:eastAsia="Arial" w:hAnsi="Arial"/>
          <w:sz w:val="18"/>
          <w:szCs w:val="18"/>
          <w:color w:val="auto"/>
        </w:rPr>
        <w:t>The following table presents cash and cash equivalents and restricted cash as reported on the consolidated balance sheets that equal the total amounts on the consolidated statements of cash flows (in thousands):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6"/>
        </w:trPr>
        <w:tc>
          <w:tcPr>
            <w:tcW w:w="80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357,329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215,372</w:t>
            </w:r>
          </w:p>
        </w:tc>
      </w:tr>
      <w:tr>
        <w:trPr>
          <w:trHeight w:val="212"/>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31"/>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 as shown on the consolidated statements of cash flows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357,745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215,788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2"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The Company may invest its excess cash in money market funds and debt instruments of the U.S. Treasury, financial institutions, corporations and U.S. government agencies with strong credit ratings and an investment grade rating at or above A- or A3 by one of the three nationally recognized statistical rating organizations. The Company does not believe that it is exposed to more than a nominal amount of credit risk related to any marketable securities it may invest in. The Company has established guidelines relative to diversification and maturities that maintain safety and liquidity, and periodically reviews and modifies these guidelines to maximize trends in yields and interest rates without compromising safety and liquidity.</w:t>
      </w:r>
    </w:p>
    <w:p>
      <w:pPr>
        <w:spacing w:after="0" w:line="187"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The Company classifies its investments in debt instruments as available-for-sale. Available-for-sale investments are reported at fair value at each balance sheet date, and include any unrealized holding gains and losses in accumulated other comprehensive loss, a component of stockholders’ equity. Realized gains and losses are included in the Company's consolidated statements of operations. All of the Company's available-for-sale securities are available for use in its current operations. The Company classifies marketable securities as either cash equivalents, short-term or long-term based on their stated maturity dates as it is more-likely-than-not that the Company will hold these assets through to their maturity dates. The Company held $568.8 million and $254.2 million of marketable securities as of December 31, 2025 and 2024, respectively.</w:t>
      </w:r>
    </w:p>
    <w:p>
      <w:pPr>
        <w:spacing w:after="0" w:line="189"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The Company evaluates securities for impairment at the end of each reporting period. Impairment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loss, net of applicable taxes unless deemed other than temporary.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 and License Agreements</w:t>
      </w:r>
    </w:p>
    <w:p>
      <w:pPr>
        <w:spacing w:after="0" w:line="112"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restricted cash and marketable securities. The Company's investment portfolio may include money market funds, marketable debt securities, including debt securities issued by U.S. government agencies and corporations, and commercial paper. The Company's investments are limited to investment-grade securities with strong credit ratings with the objective of maintaining safety and liquidity. The Company also maintains deposits in accredited financial institutions in excess of federally insured limits. Bank accounts in the United States are insured by the Federal Deposit Insurance Corporation (the “FDIC”) up to $250,000. As of December 31, 2025 and 2024, the Company’s primary operating accounts significantly exceeded the FDIC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89" w:lineRule="exact"/>
        <w:rPr>
          <w:sz w:val="20"/>
          <w:szCs w:val="20"/>
          <w:color w:val="auto"/>
        </w:rPr>
      </w:pPr>
    </w:p>
    <w:p>
      <w:pPr>
        <w:ind w:right="180" w:firstLine="439"/>
        <w:spacing w:after="0" w:line="252" w:lineRule="auto"/>
        <w:rPr>
          <w:sz w:val="20"/>
          <w:szCs w:val="20"/>
          <w:color w:val="auto"/>
        </w:rPr>
      </w:pPr>
      <w:r>
        <w:rPr>
          <w:rFonts w:ascii="Arial" w:cs="Arial" w:eastAsia="Arial" w:hAnsi="Arial"/>
          <w:sz w:val="18"/>
          <w:szCs w:val="18"/>
          <w:color w:val="auto"/>
        </w:rPr>
        <w:t>The Company is dependent on third-party manufacturers to supply materials for research and development activities of its programs, including preclinical and clinical testing. In particular, the Company relies, and expects to continue to rely, on a small number of third-party manufacturers to produce and process its current and potential product candidates and to manufacture supply of its current and potential product candidates for preclinical and clinical activities. These programs could be adversely affected by a significant interruption in the supply of the necessary materials. The Company is also dependent on third parties who provide license rights used in the development of certain programs. The Company could experience delays in the development of its programs if 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of these license agreements are terminated, if the Company fails to meet the obligations required under its arrangements, or if the Company is unable to successfully secure new strategic alliances or licensing agreements.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w:t>
      </w:r>
    </w:p>
    <w:p>
      <w:pPr>
        <w:spacing w:after="0" w:line="112" w:lineRule="exact"/>
        <w:rPr>
          <w:sz w:val="20"/>
          <w:szCs w:val="20"/>
          <w:color w:val="auto"/>
        </w:rPr>
      </w:pPr>
    </w:p>
    <w:p>
      <w:pPr>
        <w:ind w:right="120" w:firstLine="439"/>
        <w:spacing w:after="0" w:line="276" w:lineRule="auto"/>
        <w:rPr>
          <w:sz w:val="20"/>
          <w:szCs w:val="20"/>
          <w:color w:val="auto"/>
        </w:rPr>
      </w:pPr>
      <w:r>
        <w:rPr>
          <w:rFonts w:ascii="Arial" w:cs="Arial" w:eastAsia="Arial" w:hAnsi="Arial"/>
          <w:sz w:val="18"/>
          <w:szCs w:val="18"/>
          <w:color w:val="auto"/>
        </w:rPr>
        <w:t>As of December 31, 2025 and 2024, the Company had no off-balance sheet risk such as foreign exchange contracts, option contracts or other hedging arrangements.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2"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Certain assets and liabilities of the Company are carried at fair value under GAAP. The fair values of the Company’s financial assets and liabilities reflect the Company’s estimate of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34" w:lineRule="exact"/>
        <w:rPr>
          <w:sz w:val="20"/>
          <w:szCs w:val="20"/>
          <w:color w:val="auto"/>
        </w:rPr>
      </w:pPr>
    </w:p>
    <w:p>
      <w:pPr>
        <w:ind w:left="800" w:hanging="314"/>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165" w:lineRule="exact"/>
        <w:rPr>
          <w:rFonts w:ascii="Arial" w:cs="Arial" w:eastAsia="Arial" w:hAnsi="Arial"/>
          <w:sz w:val="18"/>
          <w:szCs w:val="18"/>
          <w:color w:val="auto"/>
        </w:rPr>
      </w:pPr>
    </w:p>
    <w:p>
      <w:pPr>
        <w:ind w:left="800" w:right="80" w:hanging="314"/>
        <w:spacing w:after="0" w:line="261" w:lineRule="auto"/>
        <w:tabs>
          <w:tab w:leader="none" w:pos="7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2: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3" w:lineRule="exact"/>
        <w:rPr>
          <w:rFonts w:ascii="Arial" w:cs="Arial" w:eastAsia="Arial" w:hAnsi="Arial"/>
          <w:sz w:val="18"/>
          <w:szCs w:val="18"/>
          <w:color w:val="auto"/>
        </w:rPr>
      </w:pPr>
    </w:p>
    <w:p>
      <w:pPr>
        <w:ind w:left="800" w:right="200" w:hanging="314"/>
        <w:spacing w:after="0" w:line="276" w:lineRule="auto"/>
        <w:tabs>
          <w:tab w:leader="none" w:pos="7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that are significant to determining the fair value of the assets or liabilities, including pricing models, discounted cash flow methodologies and similar techniques.</w:t>
      </w:r>
    </w:p>
    <w:p>
      <w:pPr>
        <w:spacing w:after="0" w:line="163"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2" w:lineRule="exact"/>
        <w:rPr>
          <w:sz w:val="20"/>
          <w:szCs w:val="20"/>
          <w:color w:val="auto"/>
        </w:rPr>
      </w:pPr>
    </w:p>
    <w:p>
      <w:pPr>
        <w:ind w:right="60" w:firstLine="439"/>
        <w:spacing w:after="0" w:line="276" w:lineRule="auto"/>
        <w:rPr>
          <w:sz w:val="20"/>
          <w:szCs w:val="20"/>
          <w:color w:val="auto"/>
        </w:rPr>
      </w:pPr>
      <w:r>
        <w:rPr>
          <w:rFonts w:ascii="Arial" w:cs="Arial" w:eastAsia="Arial" w:hAnsi="Arial"/>
          <w:sz w:val="18"/>
          <w:szCs w:val="18"/>
          <w:color w:val="auto"/>
        </w:rPr>
        <w:t>An entity may choose to measure many financial instruments and certain other items at fair value at specified election dates. Subsequent unrealized gains and losses on items for which the fair value option has been elected will be reported in earnings.</w:t>
      </w:r>
    </w:p>
    <w:p>
      <w:pPr>
        <w:spacing w:after="0" w:line="163" w:lineRule="exact"/>
        <w:rPr>
          <w:sz w:val="20"/>
          <w:szCs w:val="20"/>
          <w:color w:val="auto"/>
        </w:rPr>
      </w:pPr>
    </w:p>
    <w:p>
      <w:pPr>
        <w:ind w:right="200" w:firstLine="439"/>
        <w:spacing w:after="0" w:line="261" w:lineRule="auto"/>
        <w:rPr>
          <w:sz w:val="20"/>
          <w:szCs w:val="20"/>
          <w:color w:val="auto"/>
        </w:rPr>
      </w:pPr>
      <w:r>
        <w:rPr>
          <w:rFonts w:ascii="Arial" w:cs="Arial" w:eastAsia="Arial" w:hAnsi="Arial"/>
          <w:sz w:val="18"/>
          <w:szCs w:val="18"/>
          <w:color w:val="auto"/>
        </w:rPr>
        <w:t>Items measured at fair value on a recurring basis include cash equivalents and marketable securities (Note 3 and Note 4). The carrying amounts reflected in the consolidated balance sheets for cash, prepaid expenses and other current assets, accounts payable and accrued expenses approximate their fair values due to the short-term nature of these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2" w:lineRule="exact"/>
        <w:rPr>
          <w:sz w:val="20"/>
          <w:szCs w:val="20"/>
          <w:color w:val="auto"/>
        </w:rPr>
      </w:pPr>
    </w:p>
    <w:p>
      <w:pPr>
        <w:ind w:firstLine="439"/>
        <w:spacing w:after="0" w:line="276" w:lineRule="auto"/>
        <w:rPr>
          <w:sz w:val="20"/>
          <w:szCs w:val="20"/>
          <w:color w:val="auto"/>
        </w:rPr>
      </w:pPr>
      <w:r>
        <w:rPr>
          <w:rFonts w:ascii="Arial" w:cs="Arial" w:eastAsia="Arial" w:hAnsi="Arial"/>
          <w:sz w:val="18"/>
          <w:szCs w:val="18"/>
          <w:color w:val="auto"/>
        </w:rPr>
        <w:t>Property and equipment are recorded at cost. Depreciation is calculated using the straight-line method over the following estimated useful lives of the assets: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0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Estimated Useful Life</w:t>
            </w:r>
          </w:p>
        </w:tc>
      </w:tr>
      <w:tr>
        <w:trPr>
          <w:trHeight w:val="20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 years</w:t>
            </w:r>
          </w:p>
        </w:tc>
      </w:tr>
      <w:tr>
        <w:trPr>
          <w:trHeight w:val="212"/>
        </w:trPr>
        <w:tc>
          <w:tcPr>
            <w:tcW w:w="8800" w:type="dxa"/>
            <w:vAlign w:val="bottom"/>
          </w:tcPr>
          <w:p>
            <w:pPr>
              <w:ind w:left="20"/>
              <w:spacing w:after="0"/>
              <w:rPr>
                <w:sz w:val="20"/>
                <w:szCs w:val="20"/>
                <w:color w:val="auto"/>
              </w:rPr>
            </w:pPr>
            <w:r>
              <w:rPr>
                <w:rFonts w:ascii="Arial" w:cs="Arial" w:eastAsia="Arial" w:hAnsi="Arial"/>
                <w:sz w:val="16"/>
                <w:szCs w:val="16"/>
                <w:color w:val="auto"/>
              </w:rPr>
              <w:t>Laboratory equipment</w:t>
            </w:r>
          </w:p>
        </w:tc>
        <w:tc>
          <w:tcPr>
            <w:tcW w:w="2440" w:type="dxa"/>
            <w:vAlign w:val="bottom"/>
          </w:tcPr>
          <w:p>
            <w:pPr>
              <w:jc w:val="center"/>
              <w:spacing w:after="0"/>
              <w:rPr>
                <w:sz w:val="20"/>
                <w:szCs w:val="20"/>
                <w:color w:val="auto"/>
              </w:rPr>
            </w:pPr>
            <w:r>
              <w:rPr>
                <w:rFonts w:ascii="Arial" w:cs="Arial" w:eastAsia="Arial" w:hAnsi="Arial"/>
                <w:sz w:val="16"/>
                <w:szCs w:val="16"/>
                <w:color w:val="auto"/>
                <w:w w:val="99"/>
              </w:rPr>
              <w:t>3 years</w:t>
            </w:r>
          </w:p>
        </w:tc>
      </w:tr>
      <w:tr>
        <w:trPr>
          <w:trHeight w:val="214"/>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r>
    </w:tbl>
    <w:p>
      <w:pPr>
        <w:spacing w:after="0" w:line="276" w:lineRule="exact"/>
        <w:rPr>
          <w:sz w:val="20"/>
          <w:szCs w:val="20"/>
          <w:color w:val="auto"/>
        </w:rPr>
      </w:pPr>
    </w:p>
    <w:p>
      <w:pPr>
        <w:ind w:right="700" w:firstLine="439"/>
        <w:spacing w:after="0" w:line="276" w:lineRule="auto"/>
        <w:rPr>
          <w:sz w:val="20"/>
          <w:szCs w:val="20"/>
          <w:color w:val="auto"/>
        </w:rPr>
      </w:pPr>
      <w:r>
        <w:rPr>
          <w:rFonts w:ascii="Arial" w:cs="Arial" w:eastAsia="Arial" w:hAnsi="Arial"/>
          <w:sz w:val="18"/>
          <w:szCs w:val="18"/>
          <w:color w:val="auto"/>
        </w:rPr>
        <w:t>Upon disposal, retirement or sale, the cost of assets disposed of and the related accumulated depreciation are removed from the accounts and any resulting gain or loss is included in the results of operations. Expenditures for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repairs and maintenance that do not improve or extend the lives of the respective assets are charged to expense as incurred.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2" w:lineRule="exact"/>
        <w:rPr>
          <w:sz w:val="20"/>
          <w:szCs w:val="20"/>
          <w:color w:val="auto"/>
        </w:rPr>
      </w:pPr>
    </w:p>
    <w:p>
      <w:pPr>
        <w:ind w:firstLine="439"/>
        <w:spacing w:after="0" w:line="267"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2025, 2024, and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2" w:lineRule="exact"/>
        <w:rPr>
          <w:sz w:val="20"/>
          <w:szCs w:val="20"/>
          <w:color w:val="auto"/>
        </w:rPr>
      </w:pPr>
    </w:p>
    <w:p>
      <w:pPr>
        <w:ind w:right="80" w:firstLine="439"/>
        <w:spacing w:after="0" w:line="272" w:lineRule="auto"/>
        <w:rPr>
          <w:sz w:val="20"/>
          <w:szCs w:val="20"/>
          <w:color w:val="auto"/>
        </w:rPr>
      </w:pPr>
      <w:r>
        <w:rPr>
          <w:rFonts w:ascii="Arial" w:cs="Arial" w:eastAsia="Arial" w:hAnsi="Arial"/>
          <w:sz w:val="17"/>
          <w:szCs w:val="17"/>
          <w:color w:val="auto"/>
        </w:rPr>
        <w:t>The Company accounts for leases in accordance with ASC 842. The Company determines if an arrangement is a lease at contract inception. Operating lease right-of-use assets represent the Company’s right to use an underlying asset for the lease term and operating lease liabilities represent its obligation to make lease payments arising from the lease. Operating right-of-use assets and liabilities are recognized at the commencement date of the lease based upon the present value of lease payments over the lease term. When determining the lease term, the Company includes options to extend or terminate the lease when it is reasonably certain that the option will be exercised.</w:t>
      </w:r>
    </w:p>
    <w:p>
      <w:pPr>
        <w:spacing w:after="0" w:line="170" w:lineRule="exact"/>
        <w:rPr>
          <w:sz w:val="20"/>
          <w:szCs w:val="20"/>
          <w:color w:val="auto"/>
        </w:rPr>
      </w:pPr>
    </w:p>
    <w:p>
      <w:pPr>
        <w:ind w:right="20" w:firstLine="439"/>
        <w:spacing w:after="0" w:line="284" w:lineRule="auto"/>
        <w:rPr>
          <w:sz w:val="20"/>
          <w:szCs w:val="20"/>
          <w:color w:val="auto"/>
        </w:rPr>
      </w:pPr>
      <w:r>
        <w:rPr>
          <w:rFonts w:ascii="Arial" w:cs="Arial" w:eastAsia="Arial" w:hAnsi="Arial"/>
          <w:sz w:val="17"/>
          <w:szCs w:val="17"/>
          <w:color w:val="auto"/>
        </w:rPr>
        <w:t>The Company uses the implicit rate when readily determinable and uses its incremental borrowing rate when the implicit rate is not readily determinable, based upon the information available at the commencement date in determining the present value of the lease payments. The incremental borrowing rate is determined using a secured borrowing rate for the same currency and term as the associated lease.</w:t>
      </w:r>
    </w:p>
    <w:p>
      <w:pPr>
        <w:spacing w:after="0" w:line="158" w:lineRule="exact"/>
        <w:rPr>
          <w:sz w:val="20"/>
          <w:szCs w:val="20"/>
          <w:color w:val="auto"/>
        </w:rPr>
      </w:pPr>
    </w:p>
    <w:p>
      <w:pPr>
        <w:ind w:right="200" w:firstLine="439"/>
        <w:spacing w:after="0" w:line="256" w:lineRule="auto"/>
        <w:rPr>
          <w:sz w:val="20"/>
          <w:szCs w:val="20"/>
          <w:color w:val="auto"/>
        </w:rPr>
      </w:pPr>
      <w:r>
        <w:rPr>
          <w:rFonts w:ascii="Arial" w:cs="Arial" w:eastAsia="Arial" w:hAnsi="Arial"/>
          <w:sz w:val="18"/>
          <w:szCs w:val="18"/>
          <w:color w:val="auto"/>
        </w:rPr>
        <w:t>The lease payments used to determine operating lease right-of-use assets may include lease incentives and stated rent increases. The Company’s lease agreements may include both lease and non-lease components, which the Company accounts for as a single lease component when the payments are fixed, for all classes of underlying assets. Variable payments included in the lease agreement are expensed as incurred.</w:t>
      </w:r>
    </w:p>
    <w:p>
      <w:pPr>
        <w:spacing w:after="0" w:line="182"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color w:val="auto"/>
        </w:rPr>
        <w:t>The Company’s operating leases are reflected in operating lease right-of-use assets and in current operating lease liabilities and long-term operating lease liabilities in its consolidated balance sheets. The Company’s operating lease right-of-use asset as of December 31, 2025 and 2024 did not include any lease incentives. Lease expense for future lease payments is recognized on a straight-line basis over the lease term.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112"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 xml:space="preserve">The Company analyzes its collaboration arrangements to assess whether they are within the scope of ASC Topic 808, </w:t>
      </w:r>
      <w:r>
        <w:rPr>
          <w:rFonts w:ascii="Arial" w:cs="Arial" w:eastAsia="Arial" w:hAnsi="Arial"/>
          <w:sz w:val="18"/>
          <w:szCs w:val="18"/>
          <w:i w:val="1"/>
          <w:iCs w:val="1"/>
          <w:color w:val="auto"/>
        </w:rPr>
        <w:t>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 ("</w:t>
      </w:r>
      <w:r>
        <w:rPr>
          <w:rFonts w:ascii="Arial" w:cs="Arial" w:eastAsia="Arial" w:hAnsi="Arial"/>
          <w:sz w:val="18"/>
          <w:szCs w:val="18"/>
          <w:color w:val="auto"/>
        </w:rPr>
        <w:t>ASC 808"), to determine whether such arrangements involve joint operating activities performed by parties that are both active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w:t>
      </w:r>
      <w:r>
        <w:rPr>
          <w:rFonts w:ascii="Arial" w:cs="Arial" w:eastAsia="Arial" w:hAnsi="Arial"/>
          <w:sz w:val="18"/>
          <w:szCs w:val="18"/>
          <w:color w:val="auto"/>
        </w:rPr>
        <w:t>ASC 606"). If it is concluded that some or all aspects of the arrangement represent a transaction with a customer,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account for those aspects of the arrangement within the scope of ASC 606.</w:t>
      </w:r>
    </w:p>
    <w:p>
      <w:pPr>
        <w:spacing w:after="0" w:line="189" w:lineRule="exact"/>
        <w:rPr>
          <w:sz w:val="20"/>
          <w:szCs w:val="20"/>
          <w:color w:val="auto"/>
        </w:rPr>
      </w:pPr>
    </w:p>
    <w:p>
      <w:pPr>
        <w:ind w:right="400" w:firstLine="439"/>
        <w:spacing w:after="0" w:line="276" w:lineRule="auto"/>
        <w:rPr>
          <w:sz w:val="20"/>
          <w:szCs w:val="20"/>
          <w:color w:val="auto"/>
        </w:rPr>
      </w:pPr>
      <w:r>
        <w:rPr>
          <w:rFonts w:ascii="Arial" w:cs="Arial" w:eastAsia="Arial" w:hAnsi="Arial"/>
          <w:sz w:val="18"/>
          <w:szCs w:val="18"/>
          <w:color w:val="auto"/>
        </w:rPr>
        <w:t>ASC 808 provides guidance for the presentation and disclosure of transactions in collaborative arrangements, but it does not provide recognition or measurement guidance. Therefore, if the Company concludes a counterparty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color w:val="auto"/>
        </w:rPr>
        <w:t>The Company enters into collaboration agreements which are within the scope of ASC 606 under which the Company may license or provide options to license certain development or product candidates and, in certain cases, may perform research and development services. The terms of these agreements may include payment of non-refundable, upfront fees, option exercise fees, development and commercial milestone payments and royalties on net sales of licensed products.</w:t>
      </w:r>
    </w:p>
    <w:p>
      <w:pPr>
        <w:spacing w:after="0" w:line="182"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Under ASC 606, the Company recognizes revenue when its customer obtains control of promised goods or services in an amount that reflects the consideration which the Company expects to receive in exchange for those goods or services. To determine the appropriate amount of revenue to be recognized for agreements determined to be within the scope of ASC 606, the Company performs the following five steps: (1) identify the contract with a customer; (2) identify the performance obligations in the contract; (3) determine the transaction price; (4) allocate the transaction price to the performance obligations in the contract; and (5) recognize revenue when or as the Company satisfies each performance obligation. The Company only applies the five-step model to contracts when it is probable that the Company will collect consideration it is entitled to in exchange for the goods or services it transfers to the customer.</w:t>
      </w:r>
    </w:p>
    <w:p>
      <w:pPr>
        <w:spacing w:after="0" w:line="189" w:lineRule="exact"/>
        <w:rPr>
          <w:sz w:val="20"/>
          <w:szCs w:val="20"/>
          <w:color w:val="auto"/>
        </w:rPr>
      </w:pPr>
    </w:p>
    <w:p>
      <w:pPr>
        <w:ind w:right="200" w:firstLine="439"/>
        <w:spacing w:after="0" w:line="256" w:lineRule="auto"/>
        <w:rPr>
          <w:sz w:val="20"/>
          <w:szCs w:val="20"/>
          <w:color w:val="auto"/>
        </w:rPr>
      </w:pPr>
      <w:r>
        <w:rPr>
          <w:rFonts w:ascii="Arial" w:cs="Arial" w:eastAsia="Arial" w:hAnsi="Arial"/>
          <w:sz w:val="18"/>
          <w:szCs w:val="18"/>
          <w:color w:val="auto"/>
        </w:rPr>
        <w:t>At contract inception, once the contract is determined to be within the scope of ASC 606, the Company assesses the goods or services promised within each contract and determines those that are performance obligations. The Company then assesses whether each promised good or service is distinct. When the Company offers options for additional goods or services, such as an option to obtain a license, it evaluates whether such options are material rights that should be treated as separate performance obligations.</w:t>
      </w:r>
    </w:p>
    <w:p>
      <w:pPr>
        <w:spacing w:after="0" w:line="182"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The Company estimates the transaction price based on the amount expected to be received for transferring the promised goods or services in the contract. The consideration may include fixed consideration or variable consideration. At the inception of each agreement that includes variable consideration, the Company evaluates the amount of potential payments and the likelihood that the payments will be received to estimate the amount expected to be received. The amount of variable consideration included in the transaction price may be constrained and is included in the transaction price only to the extent that it is probable that a significant reversal of the cumulative revenue recognized will not occur in a future period.</w:t>
      </w:r>
    </w:p>
    <w:p>
      <w:pPr>
        <w:spacing w:after="0" w:line="187"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The Company recognizes as revenue the amount of the transaction price that it allocated to the respective performance obligation when or as each performance obligation is satisfied, either at a point in time or over time. If the performance obligation is satisfied over time, the Company recognizes revenue based on the use of an output or input method. The Company evaluates the measure of progress each reporting period and, if necessary, adjusts the measure of performance and related revenue recognition. For example, for research and development services that are recognized over time, the Company measures its progress using an input method. The input methods used are based on the effort the Company expends or costs it incurs toward the satisfaction of its performance obligation. The Company estimates the amount of effort it expends, including the time it estimates it will take to complete the activities, or costs it incurs in a given period, relative to the estimated total effort or costs to satisfy the performance obligation. This results in a percentage that is multiplied by the transaction price to determine the amount of revenue recognized each period. If the estimates or judgments change over the course of the collaboration, they may affect the timing and amount of revenue that is recognized in the current and future periods.</w:t>
      </w:r>
    </w:p>
    <w:p>
      <w:pPr>
        <w:spacing w:after="0" w:line="187" w:lineRule="exact"/>
        <w:rPr>
          <w:sz w:val="20"/>
          <w:szCs w:val="20"/>
          <w:color w:val="auto"/>
        </w:rPr>
      </w:pPr>
    </w:p>
    <w:p>
      <w:pPr>
        <w:ind w:right="140" w:firstLine="439"/>
        <w:spacing w:after="0" w:line="261" w:lineRule="auto"/>
        <w:rPr>
          <w:sz w:val="20"/>
          <w:szCs w:val="20"/>
          <w:color w:val="auto"/>
        </w:rPr>
      </w:pPr>
      <w:r>
        <w:rPr>
          <w:rFonts w:ascii="Arial" w:cs="Arial" w:eastAsia="Arial" w:hAnsi="Arial"/>
          <w:sz w:val="18"/>
          <w:szCs w:val="18"/>
          <w:color w:val="auto"/>
        </w:rPr>
        <w:t>Upfront payments are recorded as contract liabilities within deferred revenue on the consolidated balance sheets until the Company performs its obligations under these agreements. Amounts are recorded as accounts receivable when the Company’s right to consideration is unconditional.</w:t>
      </w:r>
    </w:p>
    <w:p>
      <w:pPr>
        <w:spacing w:after="0" w:line="177" w:lineRule="exact"/>
        <w:rPr>
          <w:sz w:val="20"/>
          <w:szCs w:val="20"/>
          <w:color w:val="auto"/>
        </w:rPr>
      </w:pPr>
    </w:p>
    <w:p>
      <w:pPr>
        <w:ind w:right="440" w:firstLine="439"/>
        <w:spacing w:after="0" w:line="276" w:lineRule="auto"/>
        <w:rPr>
          <w:sz w:val="20"/>
          <w:szCs w:val="20"/>
          <w:color w:val="auto"/>
        </w:rPr>
      </w:pPr>
      <w:r>
        <w:rPr>
          <w:rFonts w:ascii="Arial" w:cs="Arial" w:eastAsia="Arial" w:hAnsi="Arial"/>
          <w:sz w:val="18"/>
          <w:szCs w:val="18"/>
          <w:color w:val="auto"/>
        </w:rPr>
        <w:t>As of December 31, 2025, the Company had a collaboration and license agreement with Tenacia Biotechnology (Shanghai) Co., Ltd ("Tenacia"), which it entered into in January 2024. Additionally, the Company had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an option and license agreement with UCB Biopharma SRL ("UCB"), which it entered into in December 2022. In December 2024, UCB exercised its option to in-license global development and commercialization rights under the terms of the Collaboration Agreement. The Company has no further research service obligations under the terms of the Collaboration Agreement. The accounting related to these agreements is outlined in Note 8, Collaboration and License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2" w:lineRule="exact"/>
        <w:rPr>
          <w:sz w:val="20"/>
          <w:szCs w:val="20"/>
          <w:color w:val="auto"/>
        </w:rPr>
      </w:pPr>
    </w:p>
    <w:p>
      <w:pPr>
        <w:ind w:right="40" w:firstLine="439"/>
        <w:spacing w:after="0" w:line="269"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Costs incurred to obtain licenses are recognized as research and development expense as incurred if the technology licensed has no alternative future uses.</w:t>
      </w:r>
    </w:p>
    <w:p>
      <w:pPr>
        <w:spacing w:after="0" w:line="170" w:lineRule="exact"/>
        <w:rPr>
          <w:sz w:val="20"/>
          <w:szCs w:val="20"/>
          <w:color w:val="auto"/>
        </w:rPr>
      </w:pPr>
    </w:p>
    <w:p>
      <w:pPr>
        <w:ind w:right="40" w:firstLine="439"/>
        <w:spacing w:after="0" w:line="251" w:lineRule="auto"/>
        <w:rPr>
          <w:sz w:val="20"/>
          <w:szCs w:val="20"/>
          <w:color w:val="auto"/>
        </w:rPr>
      </w:pPr>
      <w:r>
        <w:rPr>
          <w:rFonts w:ascii="Arial" w:cs="Arial" w:eastAsia="Arial" w:hAnsi="Arial"/>
          <w:sz w:val="18"/>
          <w:szCs w:val="18"/>
          <w:color w:val="auto"/>
        </w:rPr>
        <w:t>The Company has entered into various research and development related contracts with parties both inside and outside of the United States. These agreements are cancellable, and related fees are recorded as research and development expenses as incurred. The Company records accrued liabilities and prepaid expenses for estimated ongoing research costs. When evaluating the adequacy of the accrued liabilities and prepaid expenses, the Company analyzes progress of the studies or clinical trials, including the phase or completion of events, invoices received and contracted costs. Significant judgments and estimates are made in determining the accrued and prepaid balances at the end of any reporting period. Actual results could differ from the Company’s estimates. The Company’s historical estimates have not been materially different from the actual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Costs</w:t>
      </w:r>
    </w:p>
    <w:p>
      <w:pPr>
        <w:spacing w:after="0" w:line="112"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Patent-related costs incurred in connection with patent applications are expensed as incurred due to the uncertainty about the recovery of the expenditure. Amounts incurred are classified as general and administrative expenses in the accompanying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ind w:right="120" w:firstLine="439"/>
        <w:spacing w:after="0" w:line="250" w:lineRule="auto"/>
        <w:rPr>
          <w:sz w:val="20"/>
          <w:szCs w:val="20"/>
          <w:color w:val="auto"/>
        </w:rPr>
      </w:pPr>
      <w:r>
        <w:rPr>
          <w:rFonts w:ascii="Arial" w:cs="Arial" w:eastAsia="Arial" w:hAnsi="Arial"/>
          <w:sz w:val="18"/>
          <w:szCs w:val="18"/>
          <w:color w:val="auto"/>
        </w:rPr>
        <w:t xml:space="preserve">The Company accounts for all stock-based awards granted to employees and non-employees as stock-based compensation expense at fair value in accordance with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For stock-based awards issued to employees, non-employees and members of the Company’s board of directors (the “Board”) for their services on the Board, the Company measures the estimated fair value of the stock-based award on the date of the grant. The Company recognizes compensation expense for those awards granted to employees and members of the Board over the requisite service period, which is generally the vesting period of the respective award. For non-employee awards, compensation expense is recognized as the services are provided, which is generally ratably over the vesting period. The Company issues stock-based awards with service-based vesting conditions and records the expense for these awards on a straight-line basis over the vesting period. As of December 31, 2025, the Company had not issued any stock-based awards with performance or market-based vesting conditions. The Company accounts for forfeitures as they occur.</w:t>
      </w:r>
    </w:p>
    <w:p>
      <w:pPr>
        <w:spacing w:after="0" w:line="189" w:lineRule="exact"/>
        <w:rPr>
          <w:sz w:val="20"/>
          <w:szCs w:val="20"/>
          <w:color w:val="auto"/>
        </w:rPr>
      </w:pPr>
    </w:p>
    <w:p>
      <w:pPr>
        <w:ind w:right="40" w:firstLine="439"/>
        <w:spacing w:after="0" w:line="276" w:lineRule="auto"/>
        <w:rPr>
          <w:sz w:val="20"/>
          <w:szCs w:val="20"/>
          <w:color w:val="auto"/>
        </w:rPr>
      </w:pPr>
      <w:r>
        <w:rPr>
          <w:rFonts w:ascii="Arial" w:cs="Arial" w:eastAsia="Arial" w:hAnsi="Arial"/>
          <w:sz w:val="18"/>
          <w:szCs w:val="18"/>
          <w:color w:val="auto"/>
        </w:rPr>
        <w:t>The Company classifies stock-based compensation expense in its consolidated statement of operations in the same manner in which the award recipient’s salary or service payments are classified.</w:t>
      </w:r>
    </w:p>
    <w:p>
      <w:pPr>
        <w:spacing w:after="0" w:line="163"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model, which requires inputs of subjective assumptions, including: (i) the expected volatility of the Company’s stock; (ii) the expected term of the award; (iii) the risk-free interest rate; (iv) expected dividends; and (v) the fair value of common stock. Due to the lack of Company-specific historical and implied volatility data, the Company determines the volatility for awards granted based on an analysis of reported data for a group of guideline publicly-traded companies that issued options with substantially similar terms. For this analysis, the Company selects companies with comparable characteristics including enterprise value, risk profiles, and with historical share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price information sufficient to meet the expected life of the stock-based awards. The Company determines expected volatility using a weighted average of the historical volatilities of the guideline group of companies. The Company expects to continue to apply this process until such time as it has adequate historical data regarding the volatility of its own traded stock price. As permitted under ASC 718, the Company has elected to use the contractual term as the expected term for certain non-employee awards, on an award-by-award basis. For all other awards, the expected term of the Company’s stock options has been determined utilizing the “simplified” method whereby the expected term equals the average of the vesting term and the original contractual term of the option, on a weighted basis based on the vesting of each tranche. The Company utilizes this method as it has insufficient historical exercise data to provide a reasonable basis upon which to estimate the expected term. The risk-free interest rate is determined by reference to the U.S. Treasury yield curve in effect at the time of grant of the award for instruments with a term commensurate with the expected term assumption. The expected dividend yield is assumed to be zero as the Company has never paid dividends, and does not have current plans to pay any dividends on its common stock. Subsequent to the IPO, the fair value of the common stock underlying the Company's stock-based awards is the closing price of the Company's common stock on the date of grant.</w:t>
      </w:r>
    </w:p>
    <w:p>
      <w:pPr>
        <w:spacing w:after="0" w:line="192" w:lineRule="exact"/>
        <w:rPr>
          <w:sz w:val="20"/>
          <w:szCs w:val="20"/>
          <w:color w:val="auto"/>
        </w:rPr>
      </w:pPr>
    </w:p>
    <w:p>
      <w:pPr>
        <w:ind w:right="100" w:firstLine="439"/>
        <w:spacing w:after="0" w:line="276" w:lineRule="auto"/>
        <w:rPr>
          <w:sz w:val="20"/>
          <w:szCs w:val="20"/>
          <w:color w:val="auto"/>
        </w:rPr>
      </w:pPr>
      <w:r>
        <w:rPr>
          <w:rFonts w:ascii="Arial" w:cs="Arial" w:eastAsia="Arial" w:hAnsi="Arial"/>
          <w:sz w:val="18"/>
          <w:szCs w:val="18"/>
          <w:color w:val="auto"/>
        </w:rPr>
        <w:t>The grant date fair value of restricted stock units is estimated based on the fair value of the Company's underlying common stock on the date of grant.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right="60" w:firstLine="439"/>
        <w:spacing w:after="0" w:line="268" w:lineRule="auto"/>
        <w:rPr>
          <w:sz w:val="20"/>
          <w:szCs w:val="20"/>
          <w:color w:val="auto"/>
        </w:rPr>
      </w:pPr>
      <w:r>
        <w:rPr>
          <w:rFonts w:ascii="Arial" w:cs="Arial" w:eastAsia="Arial" w:hAnsi="Arial"/>
          <w:sz w:val="17"/>
          <w:szCs w:val="17"/>
          <w:color w:val="auto"/>
        </w:rPr>
        <w:t>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w:t>
      </w:r>
    </w:p>
    <w:p>
      <w:pPr>
        <w:ind w:right="460"/>
        <w:spacing w:after="0" w:line="258" w:lineRule="auto"/>
        <w:rPr>
          <w:sz w:val="20"/>
          <w:szCs w:val="20"/>
          <w:color w:val="auto"/>
        </w:rPr>
      </w:pPr>
      <w:r>
        <w:rPr>
          <w:rFonts w:ascii="Arial" w:cs="Arial" w:eastAsia="Arial" w:hAnsi="Arial"/>
          <w:sz w:val="18"/>
          <w:szCs w:val="18"/>
          <w:color w:val="auto"/>
        </w:rPr>
        <w:t>Exchange gains or losses arising from foreign currency transactions are included in the determination of net loss. There were no material foreign currency gains or losses for the years ended December 31, 2025, 2024, and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ind w:right="180" w:firstLine="439"/>
        <w:spacing w:after="0" w:line="254"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that it believes based upon the weight of available evidence it is more likely than not that all or a portion of the deferred tax assets will not be realized, a valuation allowance is established.</w:t>
      </w:r>
    </w:p>
    <w:p>
      <w:pPr>
        <w:spacing w:after="0" w:line="183"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2" w:lineRule="exact"/>
        <w:rPr>
          <w:sz w:val="20"/>
          <w:szCs w:val="20"/>
          <w:color w:val="auto"/>
        </w:rPr>
      </w:pPr>
    </w:p>
    <w:p>
      <w:pPr>
        <w:ind w:right="180" w:firstLine="439"/>
        <w:spacing w:after="0" w:line="261" w:lineRule="auto"/>
        <w:rPr>
          <w:sz w:val="20"/>
          <w:szCs w:val="20"/>
          <w:color w:val="auto"/>
        </w:rPr>
      </w:pPr>
      <w:r>
        <w:rPr>
          <w:rFonts w:ascii="Arial" w:cs="Arial" w:eastAsia="Arial" w:hAnsi="Arial"/>
          <w:sz w:val="18"/>
          <w:szCs w:val="18"/>
          <w:color w:val="auto"/>
        </w:rPr>
        <w:t>Comprehensive loss includes net loss and certain changes in stockholders’ equity that are excluded from net loss. For the years ended December 31, 2025, 2024, and 2023, comprehensive loss consists of net loss and changes in unrealized gains and losses on marketable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2"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0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 Equity classified warrants are accounted for at fair value on the issuance date with no changes in fair value recognized after the issuance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2"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 warrants. Diluted net loss per share is computed by dividing net loss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Tax Legislation</w:t>
      </w:r>
    </w:p>
    <w:p>
      <w:pPr>
        <w:spacing w:after="0" w:line="112"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The One Big Beautiful Bill Act (“OBBBA”) was enacted in the U.S. on July 4, 2025. The OBBBA legislation provides for the permanent extension of certain expiring provisions of the Tax Cuts and Jobs Act, revisions to the international tax framework and the reinstatement of favorable tax treatment for certain business provisions. The legislation has multiple effective dates, with certain provisions effective in 2025 and others implemented in future periods. The tax changes in the OBBBA did not have a material impact to the Company's income tax provision for the year ended December 31, 2025. We continue to evaluate the tax and other provisions of the OBBBA and the potential effects on our financial position,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2"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 Improvements to Income Tax Disclosures</w:t>
      </w:r>
      <w:r>
        <w:rPr>
          <w:rFonts w:ascii="Arial" w:cs="Arial" w:eastAsia="Arial" w:hAnsi="Arial"/>
          <w:sz w:val="18"/>
          <w:szCs w:val="18"/>
          <w:color w:val="auto"/>
        </w:rPr>
        <w:t xml:space="preserve"> ("ASU 2023-09"). ASU 2023-09 provides more transparency about income tax information through improvements to income tax disclosures primarily related to the rate reconciliation and income taxes paid information. For public companies, the amendments are effective for annual periods beginning after December 15, 2024 and may be applied prospectively or retrospectively. The Company has determined that the effects of adopting the amendments in ASU 2023-09 only impact its disclosures and do not have a material impact on its consolidated financial position and the results of its operations. The amendments were applied prospectively and are reflected within Note 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2"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 xml:space="preserve">In November 2024, the FASB issued ASU No.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Disaggregation of Income Statement Expenses </w:t>
      </w:r>
      <w:r>
        <w:rPr>
          <w:rFonts w:ascii="Arial" w:cs="Arial" w:eastAsia="Arial" w:hAnsi="Arial"/>
          <w:sz w:val="18"/>
          <w:szCs w:val="18"/>
          <w:color w:val="auto"/>
        </w:rPr>
        <w:t>("ASU 2024-03"), requiring public entities to disclose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adopting ASU 2024-03 on its consolidated financial statements.</w:t>
      </w:r>
    </w:p>
    <w:p>
      <w:pPr>
        <w:spacing w:after="0" w:line="189"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 xml:space="preserve">In September 2025, the FASB issued ASU No. 2025-06,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Improvements to the Accounting for Internal-Use Software </w:t>
      </w:r>
      <w:r>
        <w:rPr>
          <w:rFonts w:ascii="Arial" w:cs="Arial" w:eastAsia="Arial" w:hAnsi="Arial"/>
          <w:sz w:val="18"/>
          <w:szCs w:val="18"/>
          <w:color w:val="auto"/>
        </w:rPr>
        <w:t>("ASU 2025-06"), which amends certain aspects of the accounting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software costs under ASC 350-40. The ASU makes targeted improvements to ASC 350-40 to modernize the guidance for internal-use software and better reflect current software development practices. ASU 2025-06 is effective for fiscal periods beginning after December 15,</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2027 and interim periods within those fiscal years. The amendments in this update can be applied prospective, retrospective, or a modified transition approach. The Company does not expect the adoption of ASU 2025-06 to have a material impact on its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Marketable Securities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investment portfolio as of December 31, 2025 and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As of December 31, 2025</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05"/>
        </w:trPr>
        <w:tc>
          <w:tcPr>
            <w:tcW w:w="6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7"/>
                <w:szCs w:val="17"/>
                <w:color w:val="auto"/>
              </w:rPr>
            </w:pPr>
          </w:p>
        </w:tc>
        <w:tc>
          <w:tcPr>
            <w:tcW w:w="1320" w:type="dxa"/>
            <w:vAlign w:val="bottom"/>
          </w:tcPr>
          <w:p>
            <w:pPr>
              <w:jc w:val="right"/>
              <w:ind w:right="320"/>
              <w:spacing w:after="0"/>
              <w:rPr>
                <w:sz w:val="20"/>
                <w:szCs w:val="20"/>
                <w:color w:val="auto"/>
              </w:rPr>
            </w:pPr>
            <w:r>
              <w:rPr>
                <w:rFonts w:ascii="Arial" w:cs="Arial" w:eastAsia="Arial" w:hAnsi="Arial"/>
                <w:sz w:val="16"/>
                <w:szCs w:val="16"/>
                <w:b w:val="1"/>
                <w:bCs w:val="1"/>
                <w:color w:val="auto"/>
              </w:rPr>
              <w:t>Estimated</w:t>
            </w:r>
          </w:p>
        </w:tc>
      </w:tr>
      <w:tr>
        <w:trPr>
          <w:trHeight w:val="214"/>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Gains</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20" w:type="dxa"/>
            <w:vAlign w:val="bottom"/>
          </w:tcPr>
          <w:p>
            <w:pPr>
              <w:jc w:val="right"/>
              <w:ind w:right="320"/>
              <w:spacing w:after="0"/>
              <w:rPr>
                <w:sz w:val="20"/>
                <w:szCs w:val="20"/>
                <w:color w:val="auto"/>
              </w:rPr>
            </w:pPr>
            <w:r>
              <w:rPr>
                <w:rFonts w:ascii="Arial" w:cs="Arial" w:eastAsia="Arial" w:hAnsi="Arial"/>
                <w:sz w:val="16"/>
                <w:szCs w:val="16"/>
                <w:b w:val="1"/>
                <w:bCs w:val="1"/>
                <w:color w:val="auto"/>
              </w:rPr>
              <w:t>Fair Value</w:t>
            </w:r>
          </w:p>
        </w:tc>
      </w:tr>
      <w:tr>
        <w:trPr>
          <w:trHeight w:val="193"/>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212"/>
        </w:trPr>
        <w:tc>
          <w:tcPr>
            <w:tcW w:w="600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195,296</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195,296</w:t>
            </w:r>
          </w:p>
        </w:tc>
      </w:tr>
      <w:tr>
        <w:trPr>
          <w:trHeight w:val="214"/>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7,002</w:t>
            </w:r>
          </w:p>
        </w:tc>
      </w:tr>
      <w:tr>
        <w:trPr>
          <w:trHeight w:val="212"/>
        </w:trPr>
        <w:tc>
          <w:tcPr>
            <w:tcW w:w="600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198,318</w:t>
            </w:r>
          </w:p>
        </w:tc>
      </w:tr>
      <w:tr>
        <w:trPr>
          <w:trHeight w:val="212"/>
        </w:trPr>
        <w:tc>
          <w:tcPr>
            <w:tcW w:w="600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183,739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183,997</w:t>
            </w:r>
          </w:p>
        </w:tc>
      </w:tr>
      <w:tr>
        <w:trPr>
          <w:trHeight w:val="214"/>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Asset backed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61,352</w:t>
            </w:r>
          </w:p>
        </w:tc>
      </w:tr>
      <w:tr>
        <w:trPr>
          <w:trHeight w:val="212"/>
        </w:trPr>
        <w:tc>
          <w:tcPr>
            <w:tcW w:w="600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7,718</w:t>
            </w:r>
          </w:p>
        </w:tc>
      </w:tr>
      <w:tr>
        <w:trPr>
          <w:trHeight w:val="213"/>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117,374</w:t>
            </w:r>
          </w:p>
        </w:tc>
      </w:tr>
      <w:tr>
        <w:trPr>
          <w:trHeight w:val="208"/>
        </w:trPr>
        <w:tc>
          <w:tcPr>
            <w:tcW w:w="6000" w:type="dxa"/>
            <w:vAlign w:val="bottom"/>
          </w:tcPr>
          <w:p>
            <w:pPr>
              <w:ind w:left="240"/>
              <w:spacing w:after="0"/>
              <w:rPr>
                <w:sz w:val="20"/>
                <w:szCs w:val="20"/>
                <w:color w:val="auto"/>
              </w:rPr>
            </w:pPr>
            <w:r>
              <w:rPr>
                <w:rFonts w:ascii="Arial" w:cs="Arial" w:eastAsia="Arial" w:hAnsi="Arial"/>
                <w:sz w:val="16"/>
                <w:szCs w:val="16"/>
                <w:color w:val="auto"/>
              </w:rPr>
              <w:t>Total cash equivalents and marketable securities</w:t>
            </w: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770,494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771,057</w:t>
            </w: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As of December 31, 2024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05"/>
        </w:trPr>
        <w:tc>
          <w:tcPr>
            <w:tcW w:w="6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7"/>
                <w:szCs w:val="17"/>
                <w:color w:val="auto"/>
              </w:rPr>
            </w:pPr>
          </w:p>
        </w:tc>
        <w:tc>
          <w:tcPr>
            <w:tcW w:w="1320" w:type="dxa"/>
            <w:vAlign w:val="bottom"/>
          </w:tcPr>
          <w:p>
            <w:pPr>
              <w:jc w:val="right"/>
              <w:ind w:right="320"/>
              <w:spacing w:after="0"/>
              <w:rPr>
                <w:sz w:val="20"/>
                <w:szCs w:val="20"/>
                <w:color w:val="auto"/>
              </w:rPr>
            </w:pPr>
            <w:r>
              <w:rPr>
                <w:rFonts w:ascii="Arial" w:cs="Arial" w:eastAsia="Arial" w:hAnsi="Arial"/>
                <w:sz w:val="16"/>
                <w:szCs w:val="16"/>
                <w:b w:val="1"/>
                <w:bCs w:val="1"/>
                <w:color w:val="auto"/>
              </w:rPr>
              <w:t>Estimated</w:t>
            </w:r>
          </w:p>
        </w:tc>
      </w:tr>
      <w:tr>
        <w:trPr>
          <w:trHeight w:val="214"/>
        </w:trPr>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Gains</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20" w:type="dxa"/>
            <w:vAlign w:val="bottom"/>
          </w:tcPr>
          <w:p>
            <w:pPr>
              <w:jc w:val="right"/>
              <w:ind w:right="320"/>
              <w:spacing w:after="0"/>
              <w:rPr>
                <w:sz w:val="20"/>
                <w:szCs w:val="20"/>
                <w:color w:val="auto"/>
              </w:rPr>
            </w:pPr>
            <w:r>
              <w:rPr>
                <w:rFonts w:ascii="Arial" w:cs="Arial" w:eastAsia="Arial" w:hAnsi="Arial"/>
                <w:sz w:val="16"/>
                <w:szCs w:val="16"/>
                <w:b w:val="1"/>
                <w:bCs w:val="1"/>
                <w:color w:val="auto"/>
              </w:rPr>
              <w:t>Fair Value</w:t>
            </w:r>
          </w:p>
        </w:tc>
      </w:tr>
      <w:tr>
        <w:trPr>
          <w:trHeight w:val="193"/>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212"/>
        </w:trPr>
        <w:tc>
          <w:tcPr>
            <w:tcW w:w="600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128,652</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14"/>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w:t>
            </w:r>
          </w:p>
        </w:tc>
      </w:tr>
      <w:tr>
        <w:trPr>
          <w:trHeight w:val="212"/>
        </w:trPr>
        <w:tc>
          <w:tcPr>
            <w:tcW w:w="600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128,690</w:t>
            </w:r>
          </w:p>
        </w:tc>
      </w:tr>
      <w:tr>
        <w:trPr>
          <w:trHeight w:val="212"/>
        </w:trPr>
        <w:tc>
          <w:tcPr>
            <w:tcW w:w="6000" w:type="dxa"/>
            <w:vAlign w:val="bottom"/>
          </w:tcPr>
          <w:p>
            <w:pPr>
              <w:ind w:left="460"/>
              <w:spacing w:after="0"/>
              <w:rPr>
                <w:sz w:val="20"/>
                <w:szCs w:val="20"/>
                <w:color w:val="auto"/>
              </w:rPr>
            </w:pPr>
            <w:r>
              <w:rPr>
                <w:rFonts w:ascii="Arial" w:cs="Arial" w:eastAsia="Arial" w:hAnsi="Arial"/>
                <w:sz w:val="16"/>
                <w:szCs w:val="16"/>
                <w:color w:val="auto"/>
              </w:rPr>
              <w:t>Corporate debt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107,695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107,852</w:t>
            </w:r>
          </w:p>
        </w:tc>
      </w:tr>
      <w:tr>
        <w:trPr>
          <w:trHeight w:val="214"/>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w:t>
            </w:r>
          </w:p>
        </w:tc>
      </w:tr>
      <w:tr>
        <w:trPr>
          <w:trHeight w:val="212"/>
        </w:trPr>
        <w:tc>
          <w:tcPr>
            <w:tcW w:w="6000" w:type="dxa"/>
            <w:vAlign w:val="bottom"/>
          </w:tcPr>
          <w:p>
            <w:pPr>
              <w:ind w:left="460"/>
              <w:spacing w:after="0"/>
              <w:rPr>
                <w:sz w:val="20"/>
                <w:szCs w:val="20"/>
                <w:color w:val="auto"/>
              </w:rPr>
            </w:pPr>
            <w:r>
              <w:rPr>
                <w:rFonts w:ascii="Arial" w:cs="Arial" w:eastAsia="Arial" w:hAnsi="Arial"/>
                <w:sz w:val="16"/>
                <w:szCs w:val="16"/>
                <w:color w:val="auto"/>
              </w:rPr>
              <w:t>Other debt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8,820</w:t>
            </w:r>
          </w:p>
        </w:tc>
      </w:tr>
      <w:tr>
        <w:trPr>
          <w:trHeight w:val="233"/>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398,763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the marketable securities at each balance sheet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2025</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20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Within one year</w:t>
            </w:r>
          </w:p>
        </w:tc>
        <w:tc>
          <w:tcPr>
            <w:tcW w:w="50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242,002</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177,195</w:t>
            </w:r>
          </w:p>
        </w:tc>
      </w:tr>
      <w:tr>
        <w:trPr>
          <w:trHeight w:val="212"/>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one year through five years</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326,757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76,961</w:t>
            </w:r>
          </w:p>
        </w:tc>
      </w:tr>
      <w:tr>
        <w:trPr>
          <w:trHeight w:val="233"/>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568,759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254,156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320" w:firstLine="439"/>
        <w:spacing w:after="0" w:line="276"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periods presented.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Assets</w:t>
      </w:r>
    </w:p>
    <w:p>
      <w:pPr>
        <w:spacing w:after="0" w:line="114" w:lineRule="exact"/>
        <w:rPr>
          <w:sz w:val="20"/>
          <w:szCs w:val="20"/>
          <w:color w:val="auto"/>
        </w:rPr>
      </w:pPr>
    </w:p>
    <w:p>
      <w:pPr>
        <w:ind w:right="160" w:firstLine="439"/>
        <w:spacing w:after="0" w:line="276"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December 31, 2025 and 2024 (in thousands).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As of December 31, 2025</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19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12"/>
        </w:trPr>
        <w:tc>
          <w:tcPr>
            <w:tcW w:w="522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195,296</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195,296</w:t>
            </w:r>
          </w:p>
        </w:tc>
      </w:tr>
      <w:tr>
        <w:trPr>
          <w:trHeight w:val="254"/>
        </w:trPr>
        <w:tc>
          <w:tcPr>
            <w:tcW w:w="5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2"/>
        </w:trPr>
        <w:tc>
          <w:tcPr>
            <w:tcW w:w="522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190,999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190,999</w:t>
            </w:r>
          </w:p>
        </w:tc>
      </w:tr>
      <w:tr>
        <w:trPr>
          <w:trHeight w:val="214"/>
        </w:trPr>
        <w:tc>
          <w:tcPr>
            <w:tcW w:w="5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198,318</w:t>
            </w:r>
          </w:p>
        </w:tc>
      </w:tr>
      <w:tr>
        <w:trPr>
          <w:trHeight w:val="212"/>
        </w:trPr>
        <w:tc>
          <w:tcPr>
            <w:tcW w:w="5220" w:type="dxa"/>
            <w:vAlign w:val="bottom"/>
          </w:tcPr>
          <w:p>
            <w:pPr>
              <w:ind w:left="460"/>
              <w:spacing w:after="0"/>
              <w:rPr>
                <w:sz w:val="20"/>
                <w:szCs w:val="20"/>
                <w:color w:val="auto"/>
              </w:rPr>
            </w:pPr>
            <w:r>
              <w:rPr>
                <w:rFonts w:ascii="Arial" w:cs="Arial" w:eastAsia="Arial" w:hAnsi="Arial"/>
                <w:sz w:val="16"/>
                <w:szCs w:val="16"/>
                <w:color w:val="auto"/>
              </w:rPr>
              <w:t>Asset backed securities</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61,352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61,352</w:t>
            </w:r>
          </w:p>
        </w:tc>
      </w:tr>
      <w:tr>
        <w:trPr>
          <w:trHeight w:val="214"/>
        </w:trPr>
        <w:tc>
          <w:tcPr>
            <w:tcW w:w="5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7,718</w:t>
            </w:r>
          </w:p>
        </w:tc>
      </w:tr>
      <w:tr>
        <w:trPr>
          <w:trHeight w:val="212"/>
        </w:trPr>
        <w:tc>
          <w:tcPr>
            <w:tcW w:w="5220" w:type="dxa"/>
            <w:vAlign w:val="bottom"/>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117,374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117,374</w:t>
            </w:r>
          </w:p>
        </w:tc>
      </w:tr>
      <w:tr>
        <w:trPr>
          <w:trHeight w:val="231"/>
        </w:trPr>
        <w:tc>
          <w:tcPr>
            <w:tcW w:w="5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771,057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87"/>
        </w:trPr>
        <w:tc>
          <w:tcPr>
            <w:tcW w:w="5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As of December 31, 2024</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0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19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12"/>
        </w:trPr>
        <w:tc>
          <w:tcPr>
            <w:tcW w:w="522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128,652</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54"/>
        </w:trPr>
        <w:tc>
          <w:tcPr>
            <w:tcW w:w="5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2"/>
        </w:trPr>
        <w:tc>
          <w:tcPr>
            <w:tcW w:w="522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144,644</w:t>
            </w:r>
          </w:p>
        </w:tc>
      </w:tr>
      <w:tr>
        <w:trPr>
          <w:trHeight w:val="214"/>
        </w:trPr>
        <w:tc>
          <w:tcPr>
            <w:tcW w:w="5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r>
      <w:tr>
        <w:trPr>
          <w:trHeight w:val="212"/>
        </w:trPr>
        <w:tc>
          <w:tcPr>
            <w:tcW w:w="522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8,794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8,794</w:t>
            </w:r>
          </w:p>
        </w:tc>
      </w:tr>
      <w:tr>
        <w:trPr>
          <w:trHeight w:val="214"/>
        </w:trPr>
        <w:tc>
          <w:tcPr>
            <w:tcW w:w="5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w:t>
            </w:r>
          </w:p>
        </w:tc>
      </w:tr>
      <w:tr>
        <w:trPr>
          <w:trHeight w:val="205"/>
        </w:trPr>
        <w:tc>
          <w:tcPr>
            <w:tcW w:w="5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273,296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125,467</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398,763</w:t>
            </w:r>
          </w:p>
        </w:tc>
      </w:tr>
      <w:tr>
        <w:trPr>
          <w:trHeight w:val="21"/>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The Company estimates the fair value of its marketable securities classified as Level 2 by taking into consideration valuations obtained from third-party pricing sources. These pricing sources utilize industry standard valuation models, including both income and market-based approaches, for which all significant inputs are observable, either directly or indirectly, to estimate fair value. These inputs include market pricing based on real-time trade data for the same or similar securities, issuer credit spreads, benchmark yields, and other observable inputs. The Company validates the prices provided by its third-party pricing sources by understanding the models used, obtaining market values from other pricing sources and analyzing pricing data in certain instances.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6"/>
        </w:trPr>
        <w:tc>
          <w:tcPr>
            <w:tcW w:w="80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2"/>
        </w:trPr>
        <w:tc>
          <w:tcPr>
            <w:tcW w:w="806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Laboratory equipment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05"/>
        </w:trPr>
        <w:tc>
          <w:tcPr>
            <w:tcW w:w="8060" w:type="dxa"/>
            <w:vAlign w:val="bottom"/>
          </w:tcPr>
          <w:p>
            <w:pPr>
              <w:ind w:left="20"/>
              <w:spacing w:after="0"/>
              <w:rPr>
                <w:sz w:val="20"/>
                <w:szCs w:val="20"/>
                <w:color w:val="auto"/>
              </w:rPr>
            </w:pPr>
            <w:r>
              <w:rPr>
                <w:rFonts w:ascii="Arial" w:cs="Arial" w:eastAsia="Arial" w:hAnsi="Arial"/>
                <w:sz w:val="16"/>
                <w:szCs w:val="16"/>
                <w:color w:val="auto"/>
              </w:rPr>
              <w:t>Total property and equipment</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1,593</w:t>
            </w: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0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1"/>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860" w:firstLine="439"/>
        <w:spacing w:after="0" w:line="276" w:lineRule="auto"/>
        <w:rPr>
          <w:sz w:val="20"/>
          <w:szCs w:val="20"/>
          <w:color w:val="auto"/>
        </w:rPr>
      </w:pPr>
      <w:r>
        <w:rPr>
          <w:rFonts w:ascii="Arial" w:cs="Arial" w:eastAsia="Arial" w:hAnsi="Arial"/>
          <w:sz w:val="18"/>
          <w:szCs w:val="18"/>
          <w:color w:val="auto"/>
        </w:rPr>
        <w:t>Depreciation expense was $0.1 million, $0.4 million, and $0.4 million for the years ended December 31, 2025, 2024, and 2023,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6"/>
        </w:trPr>
        <w:tc>
          <w:tcPr>
            <w:tcW w:w="80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personnel-related expenses</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9,365</w:t>
            </w:r>
          </w:p>
        </w:tc>
      </w:tr>
      <w:tr>
        <w:trPr>
          <w:trHeight w:val="212"/>
        </w:trPr>
        <w:tc>
          <w:tcPr>
            <w:tcW w:w="8060" w:type="dxa"/>
            <w:vAlign w:val="bottom"/>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14,291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13,363</w:t>
            </w: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r>
      <w:tr>
        <w:trPr>
          <w:trHeight w:val="205"/>
        </w:trPr>
        <w:tc>
          <w:tcPr>
            <w:tcW w:w="806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35,033</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23,763</w:t>
            </w:r>
          </w:p>
        </w:tc>
      </w:tr>
      <w:tr>
        <w:trPr>
          <w:trHeight w:val="21"/>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right="8220" w:firstLine="6"/>
        <w:spacing w:after="0" w:line="371" w:lineRule="auto"/>
        <w:tabs>
          <w:tab w:leader="none" w:pos="197"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The sublease expires on February 28, 2026. The base rent increases by approximately 2% annually. The Company issued a letter of credit to the landlord related to the security deposit, secured by restricted cash (Note 2). This lease qualifies as an operating lease. At inception, the Company recorded an operating lease right-of-use asset and operating lease liability of $4.1 million.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presentation of the operating lease in the Company’s consolidated balance sheets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As of December 31,</w:t>
            </w:r>
          </w:p>
        </w:tc>
        <w:tc>
          <w:tcPr>
            <w:tcW w:w="540" w:type="dxa"/>
            <w:vAlign w:val="bottom"/>
            <w:tcBorders>
              <w:bottom w:val="single" w:sz="8" w:color="auto"/>
            </w:tcBorders>
          </w:tcPr>
          <w:p>
            <w:pPr>
              <w:spacing w:after="0"/>
              <w:rPr>
                <w:sz w:val="18"/>
                <w:szCs w:val="18"/>
                <w:color w:val="auto"/>
              </w:rPr>
            </w:pPr>
          </w:p>
        </w:tc>
      </w:tr>
      <w:tr>
        <w:trPr>
          <w:trHeight w:val="206"/>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r>
      <w:tr>
        <w:trPr>
          <w:trHeight w:val="19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080" w:type="dxa"/>
            <w:vAlign w:val="bottom"/>
            <w:tcBorders>
              <w:bottom w:val="single" w:sz="8" w:color="auto"/>
            </w:tcBorders>
          </w:tcPr>
          <w:p>
            <w:pPr>
              <w:jc w:val="right"/>
              <w:ind w:right="9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0"/>
        </w:trPr>
        <w:tc>
          <w:tcPr>
            <w:tcW w:w="806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Liabilities:</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12"/>
        </w:trPr>
        <w:tc>
          <w:tcPr>
            <w:tcW w:w="8060" w:type="dxa"/>
            <w:vAlign w:val="bottom"/>
          </w:tcPr>
          <w:p>
            <w:pPr>
              <w:ind w:left="340"/>
              <w:spacing w:after="0"/>
              <w:rPr>
                <w:sz w:val="20"/>
                <w:szCs w:val="20"/>
                <w:color w:val="auto"/>
              </w:rPr>
            </w:pPr>
            <w:r>
              <w:rPr>
                <w:rFonts w:ascii="Arial" w:cs="Arial" w:eastAsia="Arial" w:hAnsi="Arial"/>
                <w:sz w:val="16"/>
                <w:szCs w:val="16"/>
                <w:color w:val="auto"/>
              </w:rPr>
              <w:t>Current operating lease liabilities</w:t>
            </w:r>
          </w:p>
        </w:tc>
        <w:tc>
          <w:tcPr>
            <w:tcW w:w="1080" w:type="dxa"/>
            <w:vAlign w:val="bottom"/>
          </w:tcPr>
          <w:p>
            <w:pPr>
              <w:jc w:val="right"/>
              <w:ind w:right="900"/>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1,259</w:t>
            </w:r>
          </w:p>
        </w:tc>
      </w:tr>
      <w:tr>
        <w:trPr>
          <w:trHeight w:val="214"/>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portion of operating lease liabilities</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5"/>
        </w:trPr>
        <w:tc>
          <w:tcPr>
            <w:tcW w:w="80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108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1,369</w:t>
            </w:r>
          </w:p>
        </w:tc>
      </w:tr>
      <w:tr>
        <w:trPr>
          <w:trHeight w:val="21"/>
        </w:trPr>
        <w:tc>
          <w:tcPr>
            <w:tcW w:w="8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total lease costs recognized in the Company’s consolidated statements of operations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the 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64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r>
      <w:tr>
        <w:trPr>
          <w:trHeight w:val="20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r>
      <w:tr>
        <w:trPr>
          <w:trHeight w:val="21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costs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costs</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200" w:firstLine="439"/>
        <w:spacing w:after="0" w:line="256" w:lineRule="auto"/>
        <w:rPr>
          <w:sz w:val="20"/>
          <w:szCs w:val="20"/>
          <w:color w:val="auto"/>
        </w:rPr>
      </w:pPr>
      <w:r>
        <w:rPr>
          <w:rFonts w:ascii="Arial" w:cs="Arial" w:eastAsia="Arial" w:hAnsi="Arial"/>
          <w:sz w:val="18"/>
          <w:szCs w:val="18"/>
          <w:color w:val="auto"/>
        </w:rPr>
        <w:t>Variable lease costs were primarily related to operating expenses associated with the operating leases, which were assessed based on the Company’s proportionate share of such costs for the leased premises. As these costs are generally variable in nature, they were not included in the measurement of the operating lease right-of-use asset and related lease liability. Total lease costs are included as operating expenses in the Company’s consolidated statements of operations and comprehensive loss.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lease payments under non-cancelable lease agreements as of December 31, 2025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6"/>
                <w:szCs w:val="16"/>
                <w:color w:val="auto"/>
              </w:rPr>
            </w:pPr>
          </w:p>
        </w:tc>
        <w:tc>
          <w:tcPr>
            <w:tcW w:w="1360" w:type="dxa"/>
            <w:vAlign w:val="bottom"/>
          </w:tcPr>
          <w:p>
            <w:pPr>
              <w:jc w:val="right"/>
              <w:ind w:right="200"/>
              <w:spacing w:after="0"/>
              <w:rPr>
                <w:sz w:val="20"/>
                <w:szCs w:val="20"/>
                <w:color w:val="auto"/>
              </w:rPr>
            </w:pPr>
            <w:r>
              <w:rPr>
                <w:rFonts w:ascii="Arial" w:cs="Arial" w:eastAsia="Arial" w:hAnsi="Arial"/>
                <w:sz w:val="16"/>
                <w:szCs w:val="16"/>
                <w:b w:val="1"/>
                <w:bCs w:val="1"/>
                <w:color w:val="auto"/>
              </w:rPr>
              <w:t>Future Lease</w:t>
            </w:r>
          </w:p>
        </w:tc>
        <w:tc>
          <w:tcPr>
            <w:tcW w:w="0" w:type="dxa"/>
            <w:vAlign w:val="bottom"/>
          </w:tcPr>
          <w:p>
            <w:pPr>
              <w:spacing w:after="0"/>
              <w:rPr>
                <w:sz w:val="1"/>
                <w:szCs w:val="1"/>
                <w:color w:val="auto"/>
              </w:rPr>
            </w:pPr>
          </w:p>
        </w:tc>
      </w:tr>
      <w:tr>
        <w:trPr>
          <w:trHeight w:val="213"/>
        </w:trPr>
        <w:tc>
          <w:tcPr>
            <w:tcW w:w="97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0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2"/>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2027</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lease payments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2"/>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ind w:right="20" w:firstLine="439"/>
        <w:spacing w:after="0" w:line="322" w:lineRule="auto"/>
        <w:rPr>
          <w:sz w:val="20"/>
          <w:szCs w:val="20"/>
          <w:color w:val="auto"/>
        </w:rPr>
      </w:pPr>
      <w:r>
        <w:rPr>
          <w:rFonts w:ascii="Arial" w:cs="Arial" w:eastAsia="Arial" w:hAnsi="Arial"/>
          <w:sz w:val="18"/>
          <w:szCs w:val="18"/>
          <w:color w:val="auto"/>
        </w:rPr>
        <w:t>The weighted average remaining lease term and weighted average incremental borrowing rate of the Company’s operating lease were as follows:</w:t>
      </w:r>
    </w:p>
    <w:p>
      <w:pPr>
        <w:spacing w:after="0" w:line="46"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As of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2024</w:t>
            </w:r>
          </w:p>
        </w:tc>
      </w:tr>
      <w:tr>
        <w:trPr>
          <w:trHeight w:val="20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1"/>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Weighted average incremental borrowing rate</w:t>
            </w:r>
          </w:p>
        </w:tc>
        <w:tc>
          <w:tcPr>
            <w:tcW w:w="540" w:type="dxa"/>
            <w:vAlign w:val="bottom"/>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9.0 %</w:t>
            </w:r>
          </w:p>
        </w:tc>
      </w:tr>
    </w:tbl>
    <w:p>
      <w:pPr>
        <w:spacing w:after="0" w:line="292"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In September 2025, the Company entered into a license agreement with the building owner for its existing office space located in Boston, Massachusetts, which will commence on March 1, 2026 and expire on March 31, 2027. As of December 31, 2025, the license agreement had not yet commenced and, accordingly, no right-of-use asset or lease liability or related lease payments had been recorded. Upon commencement, the license agreement will be accounted for as an operating lease under ASC 842.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2" w:lineRule="exact"/>
        <w:rPr>
          <w:sz w:val="20"/>
          <w:szCs w:val="20"/>
          <w:color w:val="auto"/>
        </w:rPr>
      </w:pPr>
    </w:p>
    <w:p>
      <w:pPr>
        <w:jc w:val="both"/>
        <w:ind w:right="220" w:firstLine="439"/>
        <w:spacing w:after="0" w:line="261"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2025, 2024, and 2023, and no material legal proceedings are currently pending or threatened.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w:t>
      </w:r>
    </w:p>
    <w:p>
      <w:pPr>
        <w:spacing w:after="0" w:line="112"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The Company has agreements with third parties for various services, including services related to research, preclinical and clinical operations and support, for which the Company is not contractually able to terminate for convenience to avoid future obligations to the vendors. Certain agreements provide for termination rights subject to termination fees or wind down costs. Under such agreements, the Company is contractually obligated to make certain payments to vendors, primarily to reimburse them for their unrecoverable outlays incurred prior to cancellation. The actual amounts the Company could pay in the future to the vendors under such agreements may differ from the purchase order amounts due to cancellation provisions.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2" w:lineRule="exact"/>
        <w:rPr>
          <w:sz w:val="20"/>
          <w:szCs w:val="20"/>
          <w:color w:val="auto"/>
        </w:rPr>
      </w:pPr>
    </w:p>
    <w:p>
      <w:pPr>
        <w:ind w:right="160" w:firstLine="439"/>
        <w:spacing w:after="0" w:line="251" w:lineRule="auto"/>
        <w:rPr>
          <w:sz w:val="20"/>
          <w:szCs w:val="20"/>
          <w:color w:val="auto"/>
        </w:rPr>
      </w:pPr>
      <w:r>
        <w:rPr>
          <w:rFonts w:ascii="Arial" w:cs="Arial" w:eastAsia="Arial" w:hAnsi="Arial"/>
          <w:sz w:val="18"/>
          <w:szCs w:val="18"/>
          <w:color w:val="auto"/>
        </w:rPr>
        <w:t>The Company enters into indemnification agreements and agreements containing indemnification provisions in the ordinary course of business. Pursuant to these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 party with respect to the Company’s products. The term of these indemnification agreements is generally perpetual upon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w:t>
      </w:r>
    </w:p>
    <w:p>
      <w:pPr>
        <w:spacing w:after="0" w:line="112" w:lineRule="exact"/>
        <w:rPr>
          <w:sz w:val="20"/>
          <w:szCs w:val="20"/>
          <w:color w:val="auto"/>
        </w:rPr>
      </w:pPr>
    </w:p>
    <w:p>
      <w:pPr>
        <w:ind w:right="520" w:firstLine="439"/>
        <w:spacing w:after="0" w:line="276" w:lineRule="auto"/>
        <w:rPr>
          <w:sz w:val="20"/>
          <w:szCs w:val="20"/>
          <w:color w:val="auto"/>
        </w:rPr>
      </w:pPr>
      <w:r>
        <w:rPr>
          <w:rFonts w:ascii="Arial" w:cs="Arial" w:eastAsia="Arial" w:hAnsi="Arial"/>
          <w:sz w:val="18"/>
          <w:szCs w:val="18"/>
          <w:color w:val="auto"/>
        </w:rPr>
        <w:t>The Company has entered into multiple agreements with third parties under which it may be obligated to make future development, regulatory and commercial milestone payments and royalty payments on future sales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0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specified product candidates. Payments under these agreements generally become due and payable upon achievement of such milestones and sales. When the achievement of these milestones or sales have not occurred, such contingencies are not recorded in the Company's financial statements.</w:t>
      </w:r>
    </w:p>
    <w:p>
      <w:pPr>
        <w:spacing w:after="0" w:line="281" w:lineRule="exact"/>
        <w:rPr>
          <w:sz w:val="20"/>
          <w:szCs w:val="20"/>
          <w:color w:val="auto"/>
        </w:rPr>
      </w:pPr>
    </w:p>
    <w:p>
      <w:pPr>
        <w:ind w:right="7720" w:firstLine="6"/>
        <w:spacing w:after="0" w:line="393" w:lineRule="auto"/>
        <w:tabs>
          <w:tab w:leader="none" w:pos="197"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Collaboration and License Agreements </w:t>
      </w:r>
      <w:r>
        <w:rPr>
          <w:rFonts w:ascii="Arial" w:cs="Arial" w:eastAsia="Arial" w:hAnsi="Arial"/>
          <w:sz w:val="17"/>
          <w:szCs w:val="17"/>
          <w:b w:val="1"/>
          <w:bCs w:val="1"/>
          <w:i w:val="1"/>
          <w:iCs w:val="1"/>
          <w:color w:val="auto"/>
        </w:rPr>
        <w:t>UCB Option and License Agreement</w:t>
      </w:r>
    </w:p>
    <w:p>
      <w:pPr>
        <w:spacing w:after="0" w:line="1"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for the discovery of small molecule therapeutics as potential treatments of KCNT1-related epilepsies. Under the terms of the Collaboration Agreement, the Company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exercised its option to in-license global development and commercialization rights, the Collaboration Agreement stipulated that UCB would assume research, development, manufacturing and commercialization responsibilities and costs. Under the terms of the Collaboration Agreement, the Company was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89"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82" w:lineRule="exact"/>
        <w:rPr>
          <w:sz w:val="20"/>
          <w:szCs w:val="20"/>
          <w:color w:val="auto"/>
        </w:rPr>
      </w:pPr>
    </w:p>
    <w:p>
      <w:pPr>
        <w:ind w:right="20" w:firstLine="439"/>
        <w:spacing w:after="0" w:line="267" w:lineRule="auto"/>
        <w:rPr>
          <w:sz w:val="20"/>
          <w:szCs w:val="20"/>
          <w:color w:val="auto"/>
        </w:rPr>
      </w:pPr>
      <w:r>
        <w:rPr>
          <w:rFonts w:ascii="Arial" w:cs="Arial" w:eastAsia="Arial" w:hAnsi="Arial"/>
          <w:sz w:val="17"/>
          <w:szCs w:val="17"/>
          <w:color w:val="auto"/>
        </w:rPr>
        <w:t>The Company recognized revenue for its research services performance obligation over time using an input method over the duration of the research services. In December 2024, UCB exercised its option to in-license global development and commercialization rights for a KCNT1 development candidate as part of the Collaboration Agreement. Upon notice of the exercise, the Company recognized the $6.0 million option exercise fee and the $2.6 million of remaining collaboration revenue associated with the $5.0 million up front payment as collaboration revenue within the December 31, 2024 consolidated statement of operations, as the Company had no further research service obligations under the terms of the Collaboration Agreement. Accordingly, the Company did not recognize any collaboration revenue associated with this Collaboration Agreement during the year ended December 31, 2025. During the years ended December 31, 2024 and 2023, the Company recognized $ 8.6 million and $2.4 million, respectively, in collaboration revenue related to the Collaboration Agreement in the consolidated statement of operations. As of December 31, 2025, there was no deferred revenue included in the consolidated balance sheet.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Tenacia Collaboration and License Agreement</w:t>
      </w:r>
    </w:p>
    <w:p>
      <w:pPr>
        <w:spacing w:after="0" w:line="112" w:lineRule="exact"/>
        <w:rPr>
          <w:sz w:val="20"/>
          <w:szCs w:val="20"/>
          <w:color w:val="auto"/>
        </w:rPr>
      </w:pPr>
    </w:p>
    <w:p>
      <w:pPr>
        <w:ind w:right="100" w:firstLine="439"/>
        <w:spacing w:after="0" w:line="249" w:lineRule="auto"/>
        <w:rPr>
          <w:sz w:val="20"/>
          <w:szCs w:val="20"/>
          <w:color w:val="auto"/>
        </w:rPr>
      </w:pPr>
      <w:r>
        <w:rPr>
          <w:rFonts w:ascii="Arial" w:cs="Arial" w:eastAsia="Arial" w:hAnsi="Arial"/>
          <w:sz w:val="18"/>
          <w:szCs w:val="18"/>
          <w:color w:val="auto"/>
        </w:rPr>
        <w:t>On January 4, 2024, the Company entered into an exclusive collaboration and license Agreement (“the License Agreement”) with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color w:val="auto"/>
        </w:rPr>
        <w:t>Under the terms of the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w:t>
      </w:r>
    </w:p>
    <w:p>
      <w:pPr>
        <w:spacing w:after="0" w:line="182" w:lineRule="exact"/>
        <w:rPr>
          <w:sz w:val="20"/>
          <w:szCs w:val="20"/>
          <w:color w:val="auto"/>
        </w:rPr>
      </w:pPr>
    </w:p>
    <w:p>
      <w:pPr>
        <w:ind w:right="220" w:firstLine="439"/>
        <w:spacing w:after="0" w:line="261" w:lineRule="auto"/>
        <w:rPr>
          <w:sz w:val="20"/>
          <w:szCs w:val="20"/>
          <w:color w:val="auto"/>
        </w:rPr>
      </w:pPr>
      <w:r>
        <w:rPr>
          <w:rFonts w:ascii="Arial" w:cs="Arial" w:eastAsia="Arial" w:hAnsi="Arial"/>
          <w:sz w:val="18"/>
          <w:szCs w:val="18"/>
          <w:color w:val="auto"/>
        </w:rPr>
        <w:t>The Company concluded that the License Agreement and the Stock Purchase Agreement is a combined arrangement since they were executed at the same time and in contemplation of each other with the same counterparty or a related party thereof and the combined arrangement falls within the scope of Topic 606.</w:t>
      </w:r>
    </w:p>
    <w:p>
      <w:pPr>
        <w:spacing w:after="0" w:line="177"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$ 10.0 million gross proceeds from the sale of common stock under the Stock Purchase Agreement and (ii) $4.8 million, net of tax, related to the up-front payment under the License Agreement, both of which were received in January 2024. During the years ended December 31, 2025 and 2024, the Company had not achieved any development or sales milestones or earned any royalties under the License Agreement.</w:t>
      </w:r>
    </w:p>
    <w:p>
      <w:pPr>
        <w:spacing w:after="0" w:line="187" w:lineRule="exact"/>
        <w:rPr>
          <w:sz w:val="20"/>
          <w:szCs w:val="20"/>
          <w:color w:val="auto"/>
        </w:rPr>
      </w:pPr>
    </w:p>
    <w:p>
      <w:pPr>
        <w:ind w:firstLine="439"/>
        <w:spacing w:after="0" w:line="250" w:lineRule="auto"/>
        <w:rPr>
          <w:sz w:val="20"/>
          <w:szCs w:val="20"/>
          <w:color w:val="auto"/>
        </w:rPr>
      </w:pPr>
      <w:r>
        <w:rPr>
          <w:rFonts w:ascii="Arial" w:cs="Arial" w:eastAsia="Arial" w:hAnsi="Arial"/>
          <w:sz w:val="18"/>
          <w:szCs w:val="18"/>
          <w:color w:val="auto"/>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$2.5 million, which was recorded at the inception of the collaboration and license agreement in research and development expense in the accompanying consolidated statement of operations.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spacing w:after="0" w:line="189"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As of December 31, 2025 and 2024, the Company did not have any receivables or deferred revenue related to the arrangement with Tenacia. The Company did not recognize any contract assets related to costs to obtain a contract with a customer or costs to fulfill a contract with a customer through December 31, 2025 because no qualifying costs were incurred. During the years ended December 31, 2025, 2024, and 2023, the Company did not recognize any revenue associated with the combined arrangement.</w:t>
      </w:r>
    </w:p>
    <w:p>
      <w:pPr>
        <w:spacing w:after="0" w:line="286" w:lineRule="exact"/>
        <w:rPr>
          <w:sz w:val="20"/>
          <w:szCs w:val="20"/>
          <w:color w:val="auto"/>
        </w:rPr>
      </w:pPr>
    </w:p>
    <w:p>
      <w:pPr>
        <w:ind w:right="7940" w:firstLine="6"/>
        <w:spacing w:after="0" w:line="371" w:lineRule="auto"/>
        <w:tabs>
          <w:tab w:leader="none" w:pos="197"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In December 2023, the Company entered into an Open Market Sale Agreement (the "2023 Sales Agreement"), with Jefferies, to provide for the offering, issuance and sale of up to an aggregate amount of $ 75.0 million of common stock from time to time in at-the-market offerings. The 2023 Sales Agreement was terminated in January 2024. During the year ended December 31, 2024, the Company issued and sold an aggregate of 192,190 shares under the 2023 Sales Agreement for aggregate net proceeds of $5.3 million, after deducting commissions and offering expenses payable by the Company.</w:t>
      </w:r>
    </w:p>
    <w:p>
      <w:pPr>
        <w:spacing w:after="0" w:line="183" w:lineRule="exact"/>
        <w:rPr>
          <w:sz w:val="20"/>
          <w:szCs w:val="20"/>
          <w:color w:val="auto"/>
        </w:rPr>
      </w:pPr>
    </w:p>
    <w:p>
      <w:pPr>
        <w:jc w:val="center"/>
        <w:ind w:right="60"/>
        <w:spacing w:after="0" w:line="276" w:lineRule="auto"/>
        <w:rPr>
          <w:sz w:val="20"/>
          <w:szCs w:val="20"/>
          <w:color w:val="auto"/>
        </w:rPr>
      </w:pPr>
      <w:r>
        <w:rPr>
          <w:rFonts w:ascii="Arial" w:cs="Arial" w:eastAsia="Arial" w:hAnsi="Arial"/>
          <w:sz w:val="17"/>
          <w:szCs w:val="17"/>
          <w:color w:val="auto"/>
        </w:rPr>
        <w:t>In March 2024, the Company entered into an Open Market Sale Agreement (the "March 2024 Sales Agreement"), with Jefferies, to provide for the offering, issuance, and sale of up to an aggregate amount of $150.0 million of common stock from time to time in at-the-market offerings. During the year ended December 31, 2024, the Company issued and sold an aggregate of 1,614,975 shares under the March 2024 Sales Agreement for aggregate net proceeds of $113.1 million, after deducting commissions and offering expenses payable by the Company.</w:t>
      </w:r>
    </w:p>
    <w:p>
      <w:pPr>
        <w:spacing w:after="0" w:line="166" w:lineRule="exact"/>
        <w:rPr>
          <w:sz w:val="20"/>
          <w:szCs w:val="20"/>
          <w:color w:val="auto"/>
        </w:rPr>
      </w:pPr>
    </w:p>
    <w:p>
      <w:pPr>
        <w:jc w:val="both"/>
        <w:ind w:right="280" w:firstLine="439"/>
        <w:spacing w:after="0" w:line="261" w:lineRule="auto"/>
        <w:rPr>
          <w:sz w:val="20"/>
          <w:szCs w:val="20"/>
          <w:color w:val="auto"/>
        </w:rPr>
      </w:pPr>
      <w:r>
        <w:rPr>
          <w:rFonts w:ascii="Arial" w:cs="Arial" w:eastAsia="Arial" w:hAnsi="Arial"/>
          <w:sz w:val="18"/>
          <w:szCs w:val="18"/>
          <w:color w:val="auto"/>
        </w:rPr>
        <w:t>In December 2024, the Company entered into an amendment to the March Sales Agreement with Jefferies to provide for the offering, issuance, and sale of up to an aggregate amount of $250.0 million of common stock from time to time in at-the-market offerings. During the year ended December 31, 2025, the Company issued and sold an</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aggregate of 1,351,689 shares under the amended March 2024 Sales Agreement for aggregate net proceeds of $83.3 million, after deducting commissions and offering expenses payable by the Company. During the year ended December 31, 2024, the Company issued and sold an aggregate of 16,487 shares under the amended March 2024 Sales Agreement for aggregate net proceeds of $1.0 million, after deducting commissions and offering expenses payable by the Company. The amended 2024 Sales Agreement was terminated in September 2025.</w:t>
      </w:r>
    </w:p>
    <w:p>
      <w:pPr>
        <w:spacing w:after="0" w:line="166" w:lineRule="exact"/>
        <w:rPr>
          <w:sz w:val="20"/>
          <w:szCs w:val="20"/>
          <w:color w:val="auto"/>
        </w:rPr>
      </w:pPr>
    </w:p>
    <w:p>
      <w:pPr>
        <w:ind w:right="80" w:firstLine="439"/>
        <w:spacing w:after="0" w:line="276" w:lineRule="auto"/>
        <w:rPr>
          <w:sz w:val="20"/>
          <w:szCs w:val="20"/>
          <w:color w:val="auto"/>
        </w:rPr>
      </w:pPr>
      <w:r>
        <w:rPr>
          <w:rFonts w:ascii="Arial" w:cs="Arial" w:eastAsia="Arial" w:hAnsi="Arial"/>
          <w:sz w:val="17"/>
          <w:szCs w:val="17"/>
          <w:color w:val="auto"/>
        </w:rPr>
        <w:t>In September 2025, the Company entered into a Sales Agreement, or the 2025 Sales Agreement, with TD Securities (USA) LLC, or TD Cowen, to provide for the offering, issuance and sale of up to an aggregate of $250.0 million of common stock from time to time in at-the-market offerings. During the year ended December 31, 2025, the Company issued and sold an aggregate of 403,947 shares under the 2025 Sales Agreement for aggregate net proceeds of $40.5 million, after deducting commissions and offering expenses payable by the Company.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2025 and 2024, the authorized capital stock of the Company included 150,000,000 shares of common stock,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$0.0001 par value, pursuant to the Amended and Restated Certificate of Incorporation effective upon the completion of the IPO. Holders of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such shares of common stock have the exclusive right to vote for the election of the Company's directors and are entitled to one vote per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share. In the event of the voluntary or involuntary liquidation, dissolution or winding up of the Company, the holders of common stock are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entitled to a pro rata distribution of the Company's net assets. Dividends may be declared and paid to such holders only when, as, and if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declared by the Board or an authorized committee thereof.</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2025, the Company did not hold any treasury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Public Offering</w:t>
      </w:r>
    </w:p>
    <w:p>
      <w:pPr>
        <w:spacing w:after="0" w:line="112" w:lineRule="exact"/>
        <w:rPr>
          <w:sz w:val="20"/>
          <w:szCs w:val="20"/>
          <w:color w:val="auto"/>
        </w:rPr>
      </w:pPr>
    </w:p>
    <w:p>
      <w:pPr>
        <w:ind w:right="140" w:firstLine="439"/>
        <w:spacing w:after="0" w:line="270" w:lineRule="auto"/>
        <w:rPr>
          <w:sz w:val="20"/>
          <w:szCs w:val="20"/>
          <w:color w:val="auto"/>
        </w:rPr>
      </w:pPr>
      <w:r>
        <w:rPr>
          <w:rFonts w:ascii="Arial" w:cs="Arial" w:eastAsia="Arial" w:hAnsi="Arial"/>
          <w:sz w:val="17"/>
          <w:szCs w:val="17"/>
          <w:color w:val="auto"/>
        </w:rPr>
        <w:t>On June 21, 2023, the Company completed a public offering of: (i) an aggregate of 4,296,646 shares of its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of common stock underlying the warrants. The purchase price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the Company.</w:t>
      </w:r>
    </w:p>
    <w:p>
      <w:pPr>
        <w:spacing w:after="0" w:line="65" w:lineRule="exact"/>
        <w:rPr>
          <w:sz w:val="20"/>
          <w:szCs w:val="20"/>
          <w:color w:val="auto"/>
        </w:rPr>
      </w:pPr>
    </w:p>
    <w:p>
      <w:pPr>
        <w:jc w:val="both"/>
        <w:ind w:right="40" w:firstLine="439"/>
        <w:spacing w:after="0" w:line="261" w:lineRule="auto"/>
        <w:rPr>
          <w:sz w:val="20"/>
          <w:szCs w:val="20"/>
          <w:color w:val="auto"/>
        </w:rPr>
      </w:pPr>
      <w:r>
        <w:rPr>
          <w:rFonts w:ascii="Arial" w:cs="Arial" w:eastAsia="Arial" w:hAnsi="Arial"/>
          <w:sz w:val="18"/>
          <w:szCs w:val="18"/>
          <w:color w:val="auto"/>
        </w:rPr>
        <w:t>During the year ended December 31, 2024, all pre-funded warrants associated with the June 2023 Public Offering were exercised via a cashless exercise, resulting in 469,981 shares of common stock issued. No cash proceeds associated with the exercise were received by the Company. As of December 31, 2025, there were no pre-funded warrants associated with this offering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2024 Public Offering</w:t>
      </w:r>
    </w:p>
    <w:p>
      <w:pPr>
        <w:spacing w:after="0" w:line="112" w:lineRule="exact"/>
        <w:rPr>
          <w:sz w:val="20"/>
          <w:szCs w:val="20"/>
          <w:color w:val="auto"/>
        </w:rPr>
      </w:pPr>
    </w:p>
    <w:p>
      <w:pPr>
        <w:ind w:firstLine="439"/>
        <w:spacing w:after="0" w:line="270" w:lineRule="auto"/>
        <w:rPr>
          <w:sz w:val="20"/>
          <w:szCs w:val="20"/>
          <w:color w:val="auto"/>
        </w:rPr>
      </w:pPr>
      <w:r>
        <w:rPr>
          <w:rFonts w:ascii="Arial" w:cs="Arial" w:eastAsia="Arial" w:hAnsi="Arial"/>
          <w:sz w:val="17"/>
          <w:szCs w:val="17"/>
          <w:color w:val="auto"/>
        </w:rPr>
        <w:t>On January 16, 2024, the Company completed a public offering of: (i) an aggregate of 3,802,025 shares of its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spacing w:after="0" w:line="171"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 61 days’ prior notice to the Company. The pre-funded warrants do not expire. The pre-funded warrants may be settled through</w:t>
      </w: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During the year ended December 31, 2024, 152,145 pre-funded warrants were exercised via a cashless exercise, resulting in 152,142 shares of common stock issued. No cash proceeds associated with the exercise were received by the Company.</w:t>
      </w:r>
    </w:p>
    <w:p>
      <w:pPr>
        <w:spacing w:after="0" w:line="183" w:lineRule="exact"/>
        <w:rPr>
          <w:sz w:val="20"/>
          <w:szCs w:val="20"/>
          <w:color w:val="auto"/>
        </w:rPr>
      </w:pPr>
    </w:p>
    <w:p>
      <w:pPr>
        <w:ind w:right="140" w:firstLine="439"/>
        <w:spacing w:after="0" w:line="261" w:lineRule="auto"/>
        <w:rPr>
          <w:sz w:val="20"/>
          <w:szCs w:val="20"/>
          <w:color w:val="auto"/>
        </w:rPr>
      </w:pPr>
      <w:r>
        <w:rPr>
          <w:rFonts w:ascii="Arial" w:cs="Arial" w:eastAsia="Arial" w:hAnsi="Arial"/>
          <w:sz w:val="18"/>
          <w:szCs w:val="18"/>
          <w:color w:val="auto"/>
        </w:rPr>
        <w:t>During the year ended December 31, 2025, 200,355 pre-funded warrants were exercised via cashless exercise, resulting in 200,349 shares of common stock issued. No cash proceeds associated with the exercise were received by the Company. As of December 31, 2025, a total of 704,225 pre-funded warrants associated with this offering remained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2024 Public Offering</w:t>
      </w:r>
    </w:p>
    <w:p>
      <w:pPr>
        <w:spacing w:after="0" w:line="112" w:lineRule="exact"/>
        <w:rPr>
          <w:sz w:val="20"/>
          <w:szCs w:val="20"/>
          <w:color w:val="auto"/>
        </w:rPr>
      </w:pPr>
    </w:p>
    <w:p>
      <w:pPr>
        <w:ind w:right="240" w:firstLine="439"/>
        <w:spacing w:after="0" w:line="270" w:lineRule="auto"/>
        <w:rPr>
          <w:sz w:val="20"/>
          <w:szCs w:val="20"/>
          <w:color w:val="auto"/>
        </w:rPr>
      </w:pPr>
      <w:r>
        <w:rPr>
          <w:rFonts w:ascii="Arial" w:cs="Arial" w:eastAsia="Arial" w:hAnsi="Arial"/>
          <w:sz w:val="17"/>
          <w:szCs w:val="17"/>
          <w:color w:val="auto"/>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the Company.</w:t>
      </w:r>
    </w:p>
    <w:p>
      <w:pPr>
        <w:spacing w:after="0" w:line="171" w:lineRule="exact"/>
        <w:rPr>
          <w:sz w:val="20"/>
          <w:szCs w:val="20"/>
          <w:color w:val="auto"/>
        </w:rPr>
      </w:pPr>
    </w:p>
    <w:p>
      <w:pPr>
        <w:ind w:right="100" w:firstLine="439"/>
        <w:spacing w:after="0" w:line="250"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December 31, 2025, none of the pre-funded warrants had been exercised and all remained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2025 Public Offering</w:t>
      </w:r>
    </w:p>
    <w:p>
      <w:pPr>
        <w:spacing w:after="0" w:line="112" w:lineRule="exact"/>
        <w:rPr>
          <w:sz w:val="20"/>
          <w:szCs w:val="20"/>
          <w:color w:val="auto"/>
        </w:rPr>
      </w:pPr>
    </w:p>
    <w:p>
      <w:pPr>
        <w:ind w:right="140" w:firstLine="439"/>
        <w:spacing w:after="0" w:line="270" w:lineRule="auto"/>
        <w:rPr>
          <w:sz w:val="20"/>
          <w:szCs w:val="20"/>
          <w:color w:val="auto"/>
        </w:rPr>
      </w:pPr>
      <w:r>
        <w:rPr>
          <w:rFonts w:ascii="Arial" w:cs="Arial" w:eastAsia="Arial" w:hAnsi="Arial"/>
          <w:sz w:val="17"/>
          <w:szCs w:val="17"/>
          <w:color w:val="auto"/>
        </w:rPr>
        <w:t>On October 20, 2025, the Company completed a public offering of: (i) an aggregate of 3,527,072 shares of its common stock at a public offering price of $157.00 per share, including the underwriters' full exercise of their option to purchase 501,592 additional shares of common stock, and (ii) pre-funded warrants to purchase 318,470 shares of common stock at a public offering price of $156.9999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$567.1 million, after deducting underwriting discounts, commissions and other offering expenses payable by the Company.</w:t>
      </w:r>
    </w:p>
    <w:p>
      <w:pPr>
        <w:spacing w:after="0" w:line="171" w:lineRule="exact"/>
        <w:rPr>
          <w:sz w:val="20"/>
          <w:szCs w:val="20"/>
          <w:color w:val="auto"/>
        </w:rPr>
      </w:pPr>
    </w:p>
    <w:p>
      <w:pPr>
        <w:ind w:right="100" w:firstLine="439"/>
        <w:spacing w:after="0" w:line="251"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shares issuable under the warrants immediately prior to such transaction. As of December 31, 2025, none of the pre-funded warrants had been exercised and all remained outstanding.</w:t>
      </w:r>
    </w:p>
    <w:p>
      <w:pPr>
        <w:spacing w:after="0" w:line="163" w:lineRule="exact"/>
        <w:rPr>
          <w:sz w:val="20"/>
          <w:szCs w:val="20"/>
          <w:color w:val="auto"/>
        </w:rPr>
      </w:pPr>
    </w:p>
    <w:p>
      <w:pPr>
        <w:ind w:right="20" w:firstLine="439"/>
        <w:spacing w:after="0" w:line="250" w:lineRule="auto"/>
        <w:rPr>
          <w:sz w:val="20"/>
          <w:szCs w:val="20"/>
          <w:color w:val="auto"/>
        </w:rPr>
      </w:pPr>
      <w:r>
        <w:rPr>
          <w:rFonts w:ascii="Arial" w:cs="Arial" w:eastAsia="Arial" w:hAnsi="Arial"/>
          <w:sz w:val="18"/>
          <w:szCs w:val="18"/>
          <w:color w:val="auto"/>
        </w:rPr>
        <w:t xml:space="preserve">The Company determined that the pre-funded warrants related to the January 2024, April 2024, and October 2025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reserved the following shares of common stock for future issuance: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16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6"/>
        </w:trPr>
        <w:tc>
          <w:tcPr>
            <w:tcW w:w="3580" w:type="dxa"/>
            <w:vAlign w:val="bottom"/>
            <w:tcBorders>
              <w:bottom w:val="single" w:sz="8" w:color="CCEEFF"/>
            </w:tcBorders>
          </w:tcPr>
          <w:p>
            <w:pPr>
              <w:spacing w:after="0"/>
              <w:rPr>
                <w:sz w:val="17"/>
                <w:szCs w:val="17"/>
                <w:color w:val="auto"/>
              </w:rPr>
            </w:pPr>
          </w:p>
        </w:tc>
        <w:tc>
          <w:tcPr>
            <w:tcW w:w="45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r>
      <w:tr>
        <w:trPr>
          <w:trHeight w:val="20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1,876,778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r>
      <w:tr>
        <w:trPr>
          <w:trHeight w:val="212"/>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January 2024 Financing</w:t>
            </w:r>
          </w:p>
        </w:tc>
        <w:tc>
          <w:tcPr>
            <w:tcW w:w="1540" w:type="dxa"/>
            <w:vAlign w:val="bottom"/>
          </w:tcPr>
          <w:p>
            <w:pPr>
              <w:jc w:val="right"/>
              <w:spacing w:after="0"/>
              <w:rPr>
                <w:sz w:val="20"/>
                <w:szCs w:val="20"/>
                <w:color w:val="auto"/>
              </w:rPr>
            </w:pPr>
            <w:r>
              <w:rPr>
                <w:rFonts w:ascii="Arial" w:cs="Arial" w:eastAsia="Arial" w:hAnsi="Arial"/>
                <w:sz w:val="16"/>
                <w:szCs w:val="16"/>
                <w:color w:val="auto"/>
              </w:rPr>
              <w:t>704,225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904,580</w:t>
            </w:r>
          </w:p>
        </w:tc>
      </w:tr>
      <w:tr>
        <w:trPr>
          <w:trHeight w:val="214"/>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pre-funded warrants related to the April 2024 Financing</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r>
      <w:tr>
        <w:trPr>
          <w:trHeight w:val="212"/>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October 2025 Financing</w:t>
            </w:r>
          </w:p>
        </w:tc>
        <w:tc>
          <w:tcPr>
            <w:tcW w:w="1540" w:type="dxa"/>
            <w:vAlign w:val="bottom"/>
          </w:tcPr>
          <w:p>
            <w:pPr>
              <w:jc w:val="right"/>
              <w:spacing w:after="0"/>
              <w:rPr>
                <w:sz w:val="20"/>
                <w:szCs w:val="20"/>
                <w:color w:val="auto"/>
              </w:rPr>
            </w:pPr>
            <w:r>
              <w:rPr>
                <w:rFonts w:ascii="Arial" w:cs="Arial" w:eastAsia="Arial" w:hAnsi="Arial"/>
                <w:sz w:val="16"/>
                <w:szCs w:val="16"/>
                <w:color w:val="auto"/>
              </w:rPr>
              <w:t>318,470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Shares reserved for future awards under the 2020</w:t>
            </w:r>
          </w:p>
        </w:tc>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and Incentive Plan</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91,343</w:t>
            </w:r>
          </w:p>
        </w:tc>
      </w:tr>
      <w:tr>
        <w:trPr>
          <w:trHeight w:val="212"/>
        </w:trPr>
        <w:tc>
          <w:tcPr>
            <w:tcW w:w="3580" w:type="dxa"/>
            <w:vAlign w:val="bottom"/>
          </w:tcPr>
          <w:p>
            <w:pPr>
              <w:ind w:left="20"/>
              <w:spacing w:after="0"/>
              <w:rPr>
                <w:sz w:val="20"/>
                <w:szCs w:val="20"/>
                <w:color w:val="auto"/>
              </w:rPr>
            </w:pPr>
            <w:r>
              <w:rPr>
                <w:rFonts w:ascii="Arial" w:cs="Arial" w:eastAsia="Arial" w:hAnsi="Arial"/>
                <w:sz w:val="16"/>
                <w:szCs w:val="16"/>
                <w:color w:val="auto"/>
                <w:w w:val="99"/>
              </w:rPr>
              <w:t>Shares reserved for future awards under the 2020</w:t>
            </w:r>
          </w:p>
        </w:tc>
        <w:tc>
          <w:tcPr>
            <w:tcW w:w="450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540" w:type="dxa"/>
            <w:vAlign w:val="bottom"/>
          </w:tcPr>
          <w:p>
            <w:pPr>
              <w:jc w:val="right"/>
              <w:spacing w:after="0"/>
              <w:rPr>
                <w:sz w:val="20"/>
                <w:szCs w:val="20"/>
                <w:color w:val="auto"/>
              </w:rPr>
            </w:pPr>
            <w:r>
              <w:rPr>
                <w:rFonts w:ascii="Arial" w:cs="Arial" w:eastAsia="Arial" w:hAnsi="Arial"/>
                <w:sz w:val="16"/>
                <w:szCs w:val="16"/>
                <w:color w:val="auto"/>
              </w:rPr>
              <w:t>281,180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109,648</w:t>
            </w:r>
          </w:p>
        </w:tc>
      </w:tr>
      <w:tr>
        <w:trPr>
          <w:trHeight w:val="214"/>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Shares reserved for future awards under the 2024</w:t>
            </w:r>
          </w:p>
        </w:tc>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Inducement Plan</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945,280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112,774</w:t>
            </w:r>
          </w:p>
        </w:tc>
      </w:tr>
      <w:tr>
        <w:trPr>
          <w:trHeight w:val="212"/>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501,853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224,473</w:t>
            </w:r>
          </w:p>
        </w:tc>
      </w:tr>
      <w:tr>
        <w:trPr>
          <w:trHeight w:val="233"/>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5,322,382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3,473,399</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2" w:lineRule="exact"/>
        <w:rPr>
          <w:sz w:val="20"/>
          <w:szCs w:val="20"/>
          <w:color w:val="auto"/>
        </w:rPr>
      </w:pPr>
    </w:p>
    <w:p>
      <w:pPr>
        <w:ind w:right="140" w:firstLine="439"/>
        <w:spacing w:after="0" w:line="254" w:lineRule="auto"/>
        <w:rPr>
          <w:sz w:val="20"/>
          <w:szCs w:val="20"/>
          <w:color w:val="auto"/>
        </w:rPr>
      </w:pPr>
      <w:r>
        <w:rPr>
          <w:rFonts w:ascii="Arial" w:cs="Arial" w:eastAsia="Arial" w:hAnsi="Arial"/>
          <w:sz w:val="18"/>
          <w:szCs w:val="18"/>
          <w:color w:val="auto"/>
        </w:rPr>
        <w:t>As of December 31, 2025 and 2024, the Company was authorized to issue 10,000,000 shares of undesignated preferred stock, $0.0001 par value, in one or more series, and is authorized to fix the powers, designations, preferences and relative participating option or other rights thereof, including dividend rights, conversion rights, voting rights, redemption rights, liquidation preferences and the number of shares constituting any series, without any further vote or action by the Company's shareholders. As of December 31, 2025 and 2024, the Company had no shares of undesignated preferred stock issued or outstanding.</w:t>
      </w:r>
    </w:p>
    <w:p>
      <w:pPr>
        <w:spacing w:after="0" w:line="287" w:lineRule="exact"/>
        <w:rPr>
          <w:sz w:val="20"/>
          <w:szCs w:val="20"/>
          <w:color w:val="auto"/>
        </w:rPr>
      </w:pPr>
    </w:p>
    <w:p>
      <w:pPr>
        <w:ind w:right="8580" w:firstLine="6"/>
        <w:spacing w:after="0" w:line="393" w:lineRule="auto"/>
        <w:tabs>
          <w:tab w:leader="none" w:pos="296"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Equity Incentive Plans</w:t>
      </w:r>
    </w:p>
    <w:p>
      <w:pPr>
        <w:spacing w:after="0" w:line="1"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In January 2025, the number of shares of common stock authorized for issuance under the Inducement plan was increased by 870,000 shares. The total number of shares of common stock authorized for issuance under the Inducement Plan as of December 31, 2025 and 2024 was 1,000,000 and 130,000 shares,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39"/>
        <w:spacing w:after="0" w:line="276" w:lineRule="auto"/>
        <w:rPr>
          <w:sz w:val="20"/>
          <w:szCs w:val="20"/>
          <w:color w:val="auto"/>
        </w:rPr>
      </w:pPr>
      <w:r>
        <w:rPr>
          <w:rFonts w:ascii="Arial" w:cs="Arial" w:eastAsia="Arial" w:hAnsi="Arial"/>
          <w:sz w:val="17"/>
          <w:szCs w:val="17"/>
          <w:color w:val="auto"/>
        </w:rPr>
        <w:t>The total number of shares of common stock authorized for issuance under the 2020 Plan as of December 31, 2025 and December 31, 2024 was 2,941,950 shares and 1,970,833 shares, respectively. The total number of shares of common stock authorized for issuance under the 2017 Stock Incentive Plan (the "2017 Plan") as of December 31, 2025 and 2024 was 395,850 shares. Any authorization to issue new options under the 2017 Plan was cancelled upon the effectiveness of the 2020 Plan and no further awards will be granted under the 2017 Plan.</w:t>
      </w:r>
    </w:p>
    <w:p>
      <w:pPr>
        <w:spacing w:after="0" w:line="166"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Stock options issued under the 2024 Inducement, 2020 Plan and 2017 Plan expire ten years from the date of grant. Shares that expire, are terminated, surrendered or canceled under the 2024 Inducement, 2020 Plan and 2017 Plan without having been fully exercised will be available for future awards. In addition, shares of common stock that are tendered to the Company by a participant to exercise an award are added to the number of shares of common stock available for future awards. Upon stock option exercise, the Company issues new shares and delivers them to the participant.</w:t>
      </w:r>
    </w:p>
    <w:p>
      <w:pPr>
        <w:spacing w:after="0" w:line="183" w:lineRule="exact"/>
        <w:rPr>
          <w:sz w:val="20"/>
          <w:szCs w:val="20"/>
          <w:color w:val="auto"/>
        </w:rPr>
      </w:pPr>
    </w:p>
    <w:p>
      <w:pPr>
        <w:ind w:right="160" w:firstLine="439"/>
        <w:spacing w:after="0" w:line="261" w:lineRule="auto"/>
        <w:rPr>
          <w:sz w:val="20"/>
          <w:szCs w:val="20"/>
          <w:color w:val="auto"/>
        </w:rPr>
      </w:pPr>
      <w:r>
        <w:rPr>
          <w:rFonts w:ascii="Arial" w:cs="Arial" w:eastAsia="Arial" w:hAnsi="Arial"/>
          <w:sz w:val="18"/>
          <w:szCs w:val="18"/>
          <w:color w:val="auto"/>
        </w:rPr>
        <w:t>The total shares authorized for issuance under the 2020 Employee Stock Purchase Plan (the "2020 ESPP") as of December 31, 2025 and 2024 was 369,368 shares and 175,145 shares, respectively. During the years ended December 31, 2025, 2024, and 2023, the Company issued 22,691, 31,381, and 24,690 shares, respectively, under the 2020 ESPP.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40"/>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0"/>
        </w:trPr>
        <w:tc>
          <w:tcPr>
            <w:tcW w:w="8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0"/>
        </w:trPr>
        <w:tc>
          <w:tcPr>
            <w:tcW w:w="8040" w:type="dxa"/>
            <w:vAlign w:val="bottom"/>
          </w:tcPr>
          <w:p>
            <w:pPr>
              <w:spacing w:after="0"/>
              <w:rPr>
                <w:sz w:val="13"/>
                <w:szCs w:val="13"/>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3"/>
                <w:szCs w:val="13"/>
                <w:color w:val="auto"/>
              </w:rPr>
            </w:pPr>
          </w:p>
        </w:tc>
        <w:tc>
          <w:tcPr>
            <w:tcW w:w="130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3"/>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40"/>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6"/>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224,473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71.71</w:t>
            </w:r>
          </w:p>
        </w:tc>
        <w:tc>
          <w:tcPr>
            <w:tcW w:w="0" w:type="dxa"/>
            <w:vAlign w:val="bottom"/>
          </w:tcPr>
          <w:p>
            <w:pPr>
              <w:spacing w:after="0"/>
              <w:rPr>
                <w:sz w:val="1"/>
                <w:szCs w:val="1"/>
                <w:color w:val="auto"/>
              </w:rPr>
            </w:pPr>
          </w:p>
        </w:tc>
      </w:tr>
      <w:tr>
        <w:trPr>
          <w:trHeight w:val="212"/>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414,151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67.60</w:t>
            </w:r>
          </w:p>
        </w:tc>
        <w:tc>
          <w:tcPr>
            <w:tcW w:w="0" w:type="dxa"/>
            <w:vAlign w:val="bottom"/>
          </w:tcPr>
          <w:p>
            <w:pPr>
              <w:spacing w:after="0"/>
              <w:rPr>
                <w:sz w:val="1"/>
                <w:szCs w:val="1"/>
                <w:color w:val="auto"/>
              </w:rPr>
            </w:pPr>
          </w:p>
        </w:tc>
      </w:tr>
      <w:tr>
        <w:trPr>
          <w:trHeight w:val="214"/>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105.57</w:t>
            </w:r>
          </w:p>
        </w:tc>
        <w:tc>
          <w:tcPr>
            <w:tcW w:w="0" w:type="dxa"/>
            <w:vAlign w:val="bottom"/>
          </w:tcPr>
          <w:p>
            <w:pPr>
              <w:spacing w:after="0"/>
              <w:rPr>
                <w:sz w:val="1"/>
                <w:szCs w:val="1"/>
                <w:color w:val="auto"/>
              </w:rPr>
            </w:pPr>
          </w:p>
        </w:tc>
      </w:tr>
      <w:tr>
        <w:trPr>
          <w:trHeight w:val="212"/>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55.89</w:t>
            </w:r>
          </w:p>
        </w:tc>
        <w:tc>
          <w:tcPr>
            <w:tcW w:w="0" w:type="dxa"/>
            <w:vAlign w:val="bottom"/>
          </w:tcPr>
          <w:p>
            <w:pPr>
              <w:spacing w:after="0"/>
              <w:rPr>
                <w:sz w:val="1"/>
                <w:szCs w:val="1"/>
                <w:color w:val="auto"/>
              </w:rPr>
            </w:pPr>
          </w:p>
        </w:tc>
      </w:tr>
      <w:tr>
        <w:trPr>
          <w:trHeight w:val="231"/>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501,853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320" w:firstLine="439"/>
        <w:spacing w:after="0" w:line="276" w:lineRule="auto"/>
        <w:rPr>
          <w:sz w:val="20"/>
          <w:szCs w:val="20"/>
          <w:color w:val="auto"/>
        </w:rPr>
      </w:pPr>
      <w:r>
        <w:rPr>
          <w:rFonts w:ascii="Arial" w:cs="Arial" w:eastAsia="Arial" w:hAnsi="Arial"/>
          <w:sz w:val="18"/>
          <w:szCs w:val="18"/>
          <w:color w:val="auto"/>
        </w:rPr>
        <w:t>As of December 31, 2025, total unrecognized compensation cost related to unvested restricted stock units was $23.7 million, which is expected to be recognized over a weighted-average period of 2.97 years.</w:t>
      </w:r>
    </w:p>
    <w:p>
      <w:pPr>
        <w:spacing w:after="0" w:line="163" w:lineRule="exact"/>
        <w:rPr>
          <w:sz w:val="20"/>
          <w:szCs w:val="20"/>
          <w:color w:val="auto"/>
        </w:rPr>
      </w:pPr>
    </w:p>
    <w:p>
      <w:pPr>
        <w:ind w:right="220" w:firstLine="439"/>
        <w:spacing w:after="0" w:line="276" w:lineRule="auto"/>
        <w:rPr>
          <w:sz w:val="20"/>
          <w:szCs w:val="20"/>
          <w:color w:val="auto"/>
        </w:rPr>
      </w:pPr>
      <w:r>
        <w:rPr>
          <w:rFonts w:ascii="Arial" w:cs="Arial" w:eastAsia="Arial" w:hAnsi="Arial"/>
          <w:sz w:val="18"/>
          <w:szCs w:val="18"/>
          <w:color w:val="auto"/>
        </w:rPr>
        <w:t>The total fair value of restricted stock units that vested during the years ended December 31, 2025 and 2024 was $8.7 million and $1.0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80"/>
              <w:spacing w:after="0"/>
              <w:rPr>
                <w:sz w:val="20"/>
                <w:szCs w:val="20"/>
                <w:color w:val="auto"/>
              </w:rPr>
            </w:pPr>
            <w:r>
              <w:rPr>
                <w:rFonts w:ascii="Arial" w:cs="Arial" w:eastAsia="Arial" w:hAnsi="Arial"/>
                <w:sz w:val="16"/>
                <w:szCs w:val="16"/>
                <w:b w:val="1"/>
                <w:bCs w:val="1"/>
                <w:color w:val="auto"/>
                <w:w w:val="97"/>
              </w:rPr>
              <w:t>Weighted</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line="160" w:lineRule="exact"/>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3"/>
                <w:szCs w:val="13"/>
                <w:color w:val="auto"/>
              </w:rPr>
            </w:pPr>
          </w:p>
        </w:tc>
        <w:tc>
          <w:tcPr>
            <w:tcW w:w="138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w w:val="98"/>
              </w:rPr>
              <w:t>Average</w:t>
            </w:r>
          </w:p>
        </w:tc>
        <w:tc>
          <w:tcPr>
            <w:tcW w:w="100" w:type="dxa"/>
            <w:vAlign w:val="bottom"/>
          </w:tcPr>
          <w:p>
            <w:pPr>
              <w:spacing w:after="0"/>
              <w:rPr>
                <w:sz w:val="13"/>
                <w:szCs w:val="13"/>
                <w:color w:val="auto"/>
              </w:rPr>
            </w:pPr>
          </w:p>
        </w:tc>
        <w:tc>
          <w:tcPr>
            <w:tcW w:w="1620" w:type="dxa"/>
            <w:vAlign w:val="bottom"/>
            <w:gridSpan w:val="2"/>
          </w:tcPr>
          <w:p>
            <w:pPr>
              <w:jc w:val="center"/>
              <w:ind w:right="100"/>
              <w:spacing w:after="0" w:line="160" w:lineRule="exact"/>
              <w:rPr>
                <w:sz w:val="20"/>
                <w:szCs w:val="20"/>
                <w:color w:val="auto"/>
              </w:rPr>
            </w:pPr>
            <w:r>
              <w:rPr>
                <w:rFonts w:ascii="Arial" w:cs="Arial" w:eastAsia="Arial" w:hAnsi="Arial"/>
                <w:sz w:val="16"/>
                <w:szCs w:val="16"/>
                <w:b w:val="1"/>
                <w:bCs w:val="1"/>
                <w:color w:val="auto"/>
                <w:w w:val="97"/>
              </w:rPr>
              <w:t>Remaining</w:t>
            </w:r>
          </w:p>
        </w:tc>
        <w:tc>
          <w:tcPr>
            <w:tcW w:w="160" w:type="dxa"/>
            <w:vAlign w:val="bottom"/>
          </w:tcPr>
          <w:p>
            <w:pPr>
              <w:spacing w:after="0"/>
              <w:rPr>
                <w:sz w:val="13"/>
                <w:szCs w:val="13"/>
                <w:color w:val="auto"/>
              </w:rPr>
            </w:pPr>
          </w:p>
        </w:tc>
        <w:tc>
          <w:tcPr>
            <w:tcW w:w="1380" w:type="dxa"/>
            <w:vAlign w:val="bottom"/>
            <w:vMerge w:val="restart"/>
          </w:tcPr>
          <w:p>
            <w:pPr>
              <w:jc w:val="center"/>
              <w:ind w:right="80"/>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3"/>
                <w:szCs w:val="13"/>
                <w:color w:val="auto"/>
              </w:rPr>
            </w:pPr>
          </w:p>
        </w:tc>
        <w:tc>
          <w:tcPr>
            <w:tcW w:w="1620" w:type="dxa"/>
            <w:vAlign w:val="bottom"/>
            <w:gridSpan w:val="2"/>
          </w:tcPr>
          <w:p>
            <w:pPr>
              <w:jc w:val="center"/>
              <w:ind w:right="100"/>
              <w:spacing w:after="0" w:line="160" w:lineRule="exact"/>
              <w:rPr>
                <w:sz w:val="20"/>
                <w:szCs w:val="20"/>
                <w:color w:val="auto"/>
              </w:rPr>
            </w:pPr>
            <w:r>
              <w:rPr>
                <w:rFonts w:ascii="Arial" w:cs="Arial" w:eastAsia="Arial" w:hAnsi="Arial"/>
                <w:sz w:val="16"/>
                <w:szCs w:val="16"/>
                <w:b w:val="1"/>
                <w:bCs w:val="1"/>
                <w:color w:val="auto"/>
                <w:w w:val="98"/>
              </w:rPr>
              <w:t>Contractual</w:t>
            </w: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80"/>
              <w:spacing w:after="0"/>
              <w:rPr>
                <w:sz w:val="20"/>
                <w:szCs w:val="20"/>
                <w:color w:val="auto"/>
              </w:rPr>
            </w:pPr>
            <w:r>
              <w:rPr>
                <w:rFonts w:ascii="Arial" w:cs="Arial" w:eastAsia="Arial" w:hAnsi="Arial"/>
                <w:sz w:val="16"/>
                <w:szCs w:val="16"/>
                <w:b w:val="1"/>
                <w:bCs w:val="1"/>
                <w:color w:val="auto"/>
              </w:rPr>
              <w:t>per Share</w:t>
            </w:r>
          </w:p>
        </w:tc>
        <w:tc>
          <w:tcPr>
            <w:tcW w:w="1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60" w:type="dxa"/>
            <w:vAlign w:val="bottom"/>
          </w:tcPr>
          <w:p>
            <w:pPr>
              <w:spacing w:after="0"/>
              <w:rPr>
                <w:sz w:val="18"/>
                <w:szCs w:val="18"/>
                <w:color w:val="auto"/>
              </w:rPr>
            </w:pPr>
          </w:p>
        </w:tc>
        <w:tc>
          <w:tcPr>
            <w:tcW w:w="1380" w:type="dxa"/>
            <w:vAlign w:val="bottom"/>
          </w:tcPr>
          <w:p>
            <w:pPr>
              <w:jc w:val="center"/>
              <w:ind w:right="80"/>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39,989</w:t>
            </w:r>
          </w:p>
        </w:tc>
        <w:tc>
          <w:tcPr>
            <w:tcW w:w="0" w:type="dxa"/>
            <w:vAlign w:val="bottom"/>
          </w:tcPr>
          <w:p>
            <w:pPr>
              <w:spacing w:after="0"/>
              <w:rPr>
                <w:sz w:val="1"/>
                <w:szCs w:val="1"/>
                <w:color w:val="auto"/>
              </w:rPr>
            </w:pPr>
          </w:p>
        </w:tc>
      </w:tr>
      <w:tr>
        <w:trPr>
          <w:trHeight w:val="212"/>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324,670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60.03</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27,608</w:t>
            </w:r>
          </w:p>
        </w:tc>
        <w:tc>
          <w:tcPr>
            <w:tcW w:w="0" w:type="dxa"/>
            <w:vAlign w:val="bottom"/>
          </w:tcPr>
          <w:p>
            <w:pPr>
              <w:spacing w:after="0"/>
              <w:rPr>
                <w:sz w:val="1"/>
                <w:szCs w:val="1"/>
                <w:color w:val="auto"/>
              </w:rPr>
            </w:pPr>
          </w:p>
        </w:tc>
      </w:tr>
      <w:tr>
        <w:trPr>
          <w:trHeight w:val="212"/>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74.65</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1,876,778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409,936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December 31, 2025</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225,671</w:t>
            </w:r>
          </w:p>
        </w:tc>
        <w:tc>
          <w:tcPr>
            <w:tcW w:w="0" w:type="dxa"/>
            <w:vAlign w:val="bottom"/>
          </w:tcPr>
          <w:p>
            <w:pPr>
              <w:spacing w:after="0" w:line="20" w:lineRule="exact"/>
              <w:rPr>
                <w:sz w:val="1"/>
                <w:szCs w:val="1"/>
                <w:color w:val="auto"/>
              </w:rPr>
            </w:pPr>
          </w:p>
        </w:tc>
      </w:tr>
      <w:tr>
        <w:trPr>
          <w:trHeight w:val="185"/>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1,101,369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112.82</w:t>
            </w:r>
          </w:p>
        </w:tc>
        <w:tc>
          <w:tcPr>
            <w:tcW w:w="1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December 31, 2025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1,876,778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409,936</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intrinsic value of stock options exercised for the years ended December 31, 2025 and 2024 was $27.6 million and</w:t>
      </w:r>
    </w:p>
    <w:p>
      <w:pPr>
        <w:spacing w:after="0" w:line="2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$1.2 million, respectively. 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2025.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fair value of the Company’s common stock on the exercise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12" w:lineRule="exact"/>
        <w:rPr>
          <w:sz w:val="20"/>
          <w:szCs w:val="20"/>
          <w:color w:val="auto"/>
        </w:rPr>
      </w:pPr>
    </w:p>
    <w:p>
      <w:pPr>
        <w:jc w:val="both"/>
        <w:ind w:right="300" w:firstLine="439"/>
        <w:spacing w:after="0" w:line="261"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members of the Board, and non-employees on the date of grant were as follows for the for the years ended December 31, 2025, 2024, and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Borders>
              <w:bottom w:val="single" w:sz="8" w:color="auto"/>
            </w:tcBorders>
          </w:tcPr>
          <w:p>
            <w:pPr>
              <w:spacing w:after="0"/>
              <w:rPr>
                <w:sz w:val="18"/>
                <w:szCs w:val="18"/>
                <w:color w:val="auto"/>
              </w:rPr>
            </w:pPr>
          </w:p>
        </w:tc>
      </w:tr>
      <w:tr>
        <w:trPr>
          <w:trHeight w:val="206"/>
        </w:trPr>
        <w:tc>
          <w:tcPr>
            <w:tcW w:w="6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2023</w:t>
            </w:r>
          </w:p>
        </w:tc>
      </w:tr>
      <w:tr>
        <w:trPr>
          <w:trHeight w:val="206"/>
        </w:trPr>
        <w:tc>
          <w:tcPr>
            <w:tcW w:w="6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Risk-free interest rate</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r>
      <w:tr>
        <w:trPr>
          <w:trHeight w:val="212"/>
        </w:trPr>
        <w:tc>
          <w:tcPr>
            <w:tcW w:w="6180" w:type="dxa"/>
            <w:vAlign w:val="bottom"/>
          </w:tcPr>
          <w:p>
            <w:pPr>
              <w:ind w:left="240"/>
              <w:spacing w:after="0"/>
              <w:rPr>
                <w:sz w:val="20"/>
                <w:szCs w:val="20"/>
                <w:color w:val="auto"/>
              </w:rPr>
            </w:pPr>
            <w:r>
              <w:rPr>
                <w:rFonts w:ascii="Arial" w:cs="Arial" w:eastAsia="Arial" w:hAnsi="Arial"/>
                <w:sz w:val="16"/>
                <w:szCs w:val="16"/>
                <w:color w:val="auto"/>
              </w:rPr>
              <w:t>Expected term (in years)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4"/>
        </w:trPr>
        <w:tc>
          <w:tcPr>
            <w:tcW w:w="6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volatility</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93.08 %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88.40 %</w:t>
            </w:r>
          </w:p>
        </w:tc>
      </w:tr>
      <w:tr>
        <w:trPr>
          <w:trHeight w:val="212"/>
        </w:trPr>
        <w:tc>
          <w:tcPr>
            <w:tcW w:w="6180" w:type="dxa"/>
            <w:vAlign w:val="bottom"/>
          </w:tcPr>
          <w:p>
            <w:pPr>
              <w:ind w:left="240"/>
              <w:spacing w:after="0"/>
              <w:rPr>
                <w:sz w:val="20"/>
                <w:szCs w:val="20"/>
                <w:color w:val="auto"/>
              </w:rPr>
            </w:pPr>
            <w:r>
              <w:rPr>
                <w:rFonts w:ascii="Arial" w:cs="Arial" w:eastAsia="Arial" w:hAnsi="Arial"/>
                <w:sz w:val="16"/>
                <w:szCs w:val="16"/>
                <w:color w:val="auto"/>
              </w:rPr>
              <w:t>Expected dividend yield</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6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Weighted average grant-date fair value per share</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9"/>
              </w:rPr>
              <w:t>46.74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29.73</w:t>
            </w:r>
          </w:p>
        </w:tc>
      </w:tr>
    </w:tbl>
    <w:p>
      <w:pPr>
        <w:spacing w:after="0" w:line="289" w:lineRule="exact"/>
        <w:rPr>
          <w:sz w:val="20"/>
          <w:szCs w:val="20"/>
          <w:color w:val="auto"/>
        </w:rPr>
      </w:pPr>
    </w:p>
    <w:p>
      <w:pPr>
        <w:ind w:right="160" w:firstLine="439"/>
        <w:spacing w:after="0" w:line="276" w:lineRule="auto"/>
        <w:rPr>
          <w:sz w:val="20"/>
          <w:szCs w:val="20"/>
          <w:color w:val="auto"/>
        </w:rPr>
      </w:pPr>
      <w:r>
        <w:rPr>
          <w:rFonts w:ascii="Arial" w:cs="Arial" w:eastAsia="Arial" w:hAnsi="Arial"/>
          <w:sz w:val="18"/>
          <w:szCs w:val="18"/>
          <w:color w:val="auto"/>
        </w:rPr>
        <w:t>As of December 31, 2025, total unrecognized compensation cost related to unvested stock options was $30.8 million, which is expected to be recognized over a weighted-average period of 2.10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06"/>
        </w:trPr>
        <w:tc>
          <w:tcPr>
            <w:tcW w:w="64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r>
      <w:tr>
        <w:trPr>
          <w:trHeight w:val="20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15,286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w:t>
            </w:r>
          </w:p>
        </w:tc>
      </w:tr>
      <w:tr>
        <w:trPr>
          <w:trHeight w:val="21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18,655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16,802</w:t>
            </w:r>
          </w:p>
        </w:tc>
      </w:tr>
      <w:tr>
        <w:trPr>
          <w:trHeight w:val="23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33,941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620" w:firstLine="6"/>
        <w:spacing w:after="0" w:line="393" w:lineRule="auto"/>
        <w:tabs>
          <w:tab w:leader="none" w:pos="286"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Agreements </w:t>
      </w:r>
      <w:r>
        <w:rPr>
          <w:rFonts w:ascii="Arial" w:cs="Arial" w:eastAsia="Arial" w:hAnsi="Arial"/>
          <w:sz w:val="17"/>
          <w:szCs w:val="17"/>
          <w:b w:val="1"/>
          <w:bCs w:val="1"/>
          <w:i w:val="1"/>
          <w:iCs w:val="1"/>
          <w:color w:val="auto"/>
        </w:rPr>
        <w:t>RogCon and Ionis Agreements</w:t>
      </w:r>
    </w:p>
    <w:p>
      <w:pPr>
        <w:spacing w:after="0" w:line="1"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On September 11, 2019, the Company entered into both a Cooperation and License Agreement (the “License Agreement”) with RogCon, Inc. ("RogCon"), and a Research, Collaboration, Option and License Agreement (the “Ionis Collaboration Agreement”) with Ionis Pharmaceuticals, Inc. ("Ionis"). The agreements were entered into contemporaneously to enable the parties to advance their collective efforts related to SCN2A.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RogCon Agreement</w:t>
      </w:r>
    </w:p>
    <w:p>
      <w:pPr>
        <w:spacing w:after="0" w:line="112" w:lineRule="exact"/>
        <w:rPr>
          <w:sz w:val="20"/>
          <w:szCs w:val="20"/>
          <w:color w:val="auto"/>
        </w:rPr>
      </w:pPr>
    </w:p>
    <w:p>
      <w:pPr>
        <w:ind w:right="80" w:firstLine="439"/>
        <w:spacing w:after="0" w:line="252" w:lineRule="auto"/>
        <w:rPr>
          <w:sz w:val="20"/>
          <w:szCs w:val="20"/>
          <w:color w:val="auto"/>
        </w:rPr>
      </w:pPr>
      <w:r>
        <w:rPr>
          <w:rFonts w:ascii="Arial" w:cs="Arial" w:eastAsia="Arial" w:hAnsi="Arial"/>
          <w:sz w:val="18"/>
          <w:szCs w:val="18"/>
          <w:color w:val="auto"/>
        </w:rPr>
        <w:t>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Under the License Agreement, the Company will conduct, at its own cost and expense, the research and development activities assigned to it under the research plan. In addition, the Company is responsible for reimbursing RogCon for any costs associated with research and development activities RogCon performs at the request of the Company. As part of the agreement, the Company agreed to provide up-front consideration of $2.1 million.</w:t>
      </w:r>
    </w:p>
    <w:p>
      <w:pPr>
        <w:spacing w:after="0" w:line="187" w:lineRule="exact"/>
        <w:rPr>
          <w:sz w:val="20"/>
          <w:szCs w:val="20"/>
          <w:color w:val="auto"/>
        </w:rPr>
      </w:pPr>
    </w:p>
    <w:p>
      <w:pPr>
        <w:ind w:right="440" w:firstLine="439"/>
        <w:spacing w:after="0" w:line="261" w:lineRule="auto"/>
        <w:rPr>
          <w:sz w:val="20"/>
          <w:szCs w:val="20"/>
          <w:color w:val="auto"/>
        </w:rPr>
      </w:pPr>
      <w:r>
        <w:rPr>
          <w:rFonts w:ascii="Arial" w:cs="Arial" w:eastAsia="Arial" w:hAnsi="Arial"/>
          <w:sz w:val="18"/>
          <w:szCs w:val="18"/>
          <w:color w:val="auto"/>
        </w:rPr>
        <w:t>Subsequent to September 11, 2019, the Company will reimburse RogCon for its out-of-pocket costs incurred for activities performed under the License Agreement. The Company expenses these costs as incurred as research and development. Expenses incurred for all periods presented were not material.</w:t>
      </w:r>
    </w:p>
    <w:p>
      <w:pPr>
        <w:spacing w:after="0" w:line="177"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Additionally, the Company may pay RogCon a milestone payment of $3.0 million and profit share payments. The $3.0 million milestone payment will become due when the first profit share payment has become due and certain contingent payments have become payable to Ionis under the Ionis Collaboration Agreement, which are subject to the Company exercising its option to obtain license rights to a development candidate, as well as other contingent events. The profit share payments will be based on a low-double-digit percentage of net profits, depending on sales volume.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License Agreement, unless earlier terminated, will continue until the latest of: (i) expiration of all patent rights within RogCon patents,</w:t>
      </w:r>
    </w:p>
    <w:p>
      <w:pPr>
        <w:spacing w:after="0" w:line="34" w:lineRule="exact"/>
        <w:rPr>
          <w:sz w:val="20"/>
          <w:szCs w:val="20"/>
          <w:color w:val="auto"/>
        </w:rPr>
      </w:pPr>
    </w:p>
    <w:p>
      <w:pPr>
        <w:ind w:firstLine="6"/>
        <w:spacing w:after="0" w:line="249" w:lineRule="auto"/>
        <w:tabs>
          <w:tab w:leader="none" w:pos="2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and its affiliates certify they have abandoned the research, development and commercialization of product with no intention to re-establish such activities, and (iii) no third party is obligated to pay the Company or its affiliates any amounts that comprise net sublicense revenue. Either party may terminate the License Agreement for material breach or insolvency of the other party. Additionally, the Company may terminate for convenience with prior written notice to RogCon. Upon termination by either party, all rights and licenses granted by RogCon to the Company will revert back to RogCon.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Ionis Collaboration Agreement</w:t>
      </w:r>
    </w:p>
    <w:p>
      <w:pPr>
        <w:spacing w:after="0" w:line="112" w:lineRule="exact"/>
        <w:rPr>
          <w:sz w:val="20"/>
          <w:szCs w:val="20"/>
          <w:color w:val="auto"/>
        </w:rPr>
      </w:pPr>
    </w:p>
    <w:p>
      <w:pPr>
        <w:ind w:right="60" w:firstLine="439"/>
        <w:spacing w:after="0" w:line="251" w:lineRule="auto"/>
        <w:rPr>
          <w:sz w:val="20"/>
          <w:szCs w:val="20"/>
          <w:color w:val="auto"/>
        </w:rPr>
      </w:pPr>
      <w:r>
        <w:rPr>
          <w:rFonts w:ascii="Arial" w:cs="Arial" w:eastAsia="Arial" w:hAnsi="Arial"/>
          <w:sz w:val="18"/>
          <w:szCs w:val="18"/>
          <w:color w:val="auto"/>
        </w:rPr>
        <w:t>Under the Ionis Collaboration Agreement, both parties participated in research activities related to the downregulation of SCN2A gene products associated with the treatment of any and all forms of epilepsy and/or neurodevelopmental disorders in each case caused by any mutation of the SCN2A gene, other than one severe type of epilepsy. Ionis was also responsible for identifying a development candidate and conducting an IND-enabling toxicology study. The Company reimbursed Ionis for out-of-pocket costs incurred related to the research activities, identification of a development candidate and conducting an IND-enabling toxicology study. The reimbursement of out-of-pocket costs was recognized as research and development expense as incurred. No expenses were incurred during the year ended December 31, 2025. Expense for the years ended December 31, 2024 and 2023 was immaterial.</w:t>
      </w:r>
    </w:p>
    <w:p>
      <w:pPr>
        <w:spacing w:after="0" w:line="189" w:lineRule="exact"/>
        <w:rPr>
          <w:sz w:val="20"/>
          <w:szCs w:val="20"/>
          <w:color w:val="auto"/>
        </w:rPr>
      </w:pPr>
    </w:p>
    <w:p>
      <w:pPr>
        <w:ind w:right="160" w:firstLine="439"/>
        <w:spacing w:after="0" w:line="252" w:lineRule="auto"/>
        <w:rPr>
          <w:sz w:val="20"/>
          <w:szCs w:val="20"/>
          <w:color w:val="auto"/>
        </w:rPr>
      </w:pPr>
      <w:r>
        <w:rPr>
          <w:rFonts w:ascii="Arial" w:cs="Arial" w:eastAsia="Arial" w:hAnsi="Arial"/>
          <w:sz w:val="18"/>
          <w:szCs w:val="18"/>
          <w:color w:val="auto"/>
        </w:rPr>
        <w:t>Ionis granted the Company an exclusive option to obtain the rights and license to further develop and commercialize a development candidate in the field of epilepsy and neurodevelopmental disorders, other than Dravet Syndrome, following the results of the investigational new drug application-enabling toxicology study. The Company exercised this exclusive option in January 2022, paid a $2.0 million license fee and recognized the license fee in research and development expenses in the consolidated statement of operations during the year ended December 31, 2022. After option exercise, the Company is responsible for clinical development and commercialization of the development candidate.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40" w:firstLine="439"/>
        <w:spacing w:after="0" w:line="256" w:lineRule="auto"/>
        <w:rPr>
          <w:sz w:val="20"/>
          <w:szCs w:val="20"/>
          <w:color w:val="auto"/>
        </w:rPr>
      </w:pPr>
      <w:r>
        <w:rPr>
          <w:rFonts w:ascii="Arial" w:cs="Arial" w:eastAsia="Arial" w:hAnsi="Arial"/>
          <w:sz w:val="18"/>
          <w:szCs w:val="18"/>
          <w:color w:val="auto"/>
        </w:rPr>
        <w:t>Additionally, in July 2023, the Company paid a milestone payment of $6.9 million to Ionis, which was earned in the second quarter of 2023 upon initiation of the Company's elsunersen EMBRAVE study, and was recognized in research and development expenses in the consolidated statement of operations during the year ended December 31, 2023. Ionis may be entitled to additional development milestone payments, additional milestone payments, and sales royalties or sublicense fees.</w:t>
      </w:r>
    </w:p>
    <w:p>
      <w:pPr>
        <w:spacing w:after="0" w:line="182" w:lineRule="exact"/>
        <w:rPr>
          <w:sz w:val="20"/>
          <w:szCs w:val="20"/>
          <w:color w:val="auto"/>
        </w:rPr>
      </w:pPr>
    </w:p>
    <w:p>
      <w:pPr>
        <w:ind w:right="280" w:firstLine="439"/>
        <w:spacing w:after="0" w:line="254" w:lineRule="auto"/>
        <w:rPr>
          <w:sz w:val="20"/>
          <w:szCs w:val="20"/>
          <w:color w:val="auto"/>
        </w:rPr>
      </w:pPr>
      <w:r>
        <w:rPr>
          <w:rFonts w:ascii="Arial" w:cs="Arial" w:eastAsia="Arial" w:hAnsi="Arial"/>
          <w:sz w:val="18"/>
          <w:szCs w:val="18"/>
          <w:color w:val="auto"/>
        </w:rPr>
        <w:t>The Ionis Collaboration Agreement will continue until the expiration of all payment obligations to Ionis, unless earlier terminated. Either party may terminate the Ionis Collaboration Agreement upon material breach or insolvency of the other party. Ionis may terminate if the Company fails to achieve a performance milestone. The Company may terminate for convenience with prior written notice to Ionis. Upon termination by the Company for convenience, the Company will stop selling all products, subject to certain wind-down provisions, and all products will revert back to Ionis.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14" w:lineRule="exact"/>
        <w:rPr>
          <w:sz w:val="20"/>
          <w:szCs w:val="20"/>
          <w:color w:val="auto"/>
        </w:rPr>
      </w:pPr>
    </w:p>
    <w:p>
      <w:pPr>
        <w:ind w:firstLine="439"/>
        <w:spacing w:after="0" w:line="261"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6420" w:type="dxa"/>
            <w:vAlign w:val="bottom"/>
          </w:tcPr>
          <w:p>
            <w:pPr>
              <w:spacing w:after="0"/>
              <w:rPr>
                <w:sz w:val="18"/>
                <w:szCs w:val="18"/>
                <w:color w:val="auto"/>
              </w:rPr>
            </w:pPr>
          </w:p>
        </w:tc>
        <w:tc>
          <w:tcPr>
            <w:tcW w:w="3620" w:type="dxa"/>
            <w:vAlign w:val="bottom"/>
            <w:tcBorders>
              <w:bottom w:val="single" w:sz="8" w:color="auto"/>
            </w:tcBorders>
            <w:gridSpan w:val="5"/>
          </w:tcPr>
          <w:p>
            <w:pPr>
              <w:ind w:left="1420"/>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06"/>
        </w:trPr>
        <w:tc>
          <w:tcPr>
            <w:tcW w:w="64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2023</w:t>
            </w:r>
          </w:p>
        </w:tc>
      </w:tr>
      <w:tr>
        <w:trPr>
          <w:trHeight w:val="20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1,876,778</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40" w:type="dxa"/>
            <w:vAlign w:val="bottom"/>
          </w:tcPr>
          <w:p>
            <w:pPr>
              <w:jc w:val="right"/>
              <w:spacing w:after="0"/>
              <w:rPr>
                <w:sz w:val="20"/>
                <w:szCs w:val="20"/>
                <w:color w:val="auto"/>
              </w:rPr>
            </w:pPr>
            <w:r>
              <w:rPr>
                <w:rFonts w:ascii="Arial" w:cs="Arial" w:eastAsia="Arial" w:hAnsi="Arial"/>
                <w:sz w:val="16"/>
                <w:szCs w:val="16"/>
                <w:color w:val="auto"/>
              </w:rPr>
              <w:t>501,853</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224,473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47,145</w:t>
            </w: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ESPP</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24,972</w:t>
            </w:r>
          </w:p>
        </w:tc>
      </w:tr>
      <w:tr>
        <w:trPr>
          <w:trHeight w:val="206"/>
        </w:trPr>
        <w:tc>
          <w:tcPr>
            <w:tcW w:w="642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2,383,586</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2,041,131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738,280</w:t>
            </w:r>
          </w:p>
        </w:tc>
      </w:tr>
      <w:tr>
        <w:trPr>
          <w:trHeight w:val="21"/>
        </w:trPr>
        <w:tc>
          <w:tcPr>
            <w:tcW w:w="6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180" w:firstLine="439"/>
        <w:spacing w:after="0" w:line="252" w:lineRule="auto"/>
        <w:rPr>
          <w:sz w:val="20"/>
          <w:szCs w:val="20"/>
          <w:color w:val="auto"/>
        </w:rPr>
      </w:pPr>
      <w:r>
        <w:rPr>
          <w:rFonts w:ascii="Arial" w:cs="Arial" w:eastAsia="Arial" w:hAnsi="Arial"/>
          <w:sz w:val="18"/>
          <w:szCs w:val="18"/>
          <w:color w:val="auto"/>
        </w:rPr>
        <w:t>Common shares issuable upon exercise of the pre-funded warrants that were sold in connection with the January 2024, April 2024, and October 2025 underwritten public offerings are included in the calculation of weighted average number of common shares outstanding for the years ended December 31, 2025 and 2024.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net loss per share from the date of issuance.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14"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The Company maintains a full valuation allowance on its U.S. net deferred tax assets due to the uncertainty of future taxable income. The Company did not recognize any income tax benefit in the years ended December 31, 2025, 2024, and 2023 related to its U.S. operations due to the uncertainty regarding future taxable income. In the years ended December 31, 2025, 2024, and 2023, the difference between the statutory tax rate in the U.S. and the Company’s effective tax rate was due primarily to the valuation allowance recorded to offset any potential tax benefit.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before provision for income taxes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06"/>
        </w:trPr>
        <w:tc>
          <w:tcPr>
            <w:tcW w:w="64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r>
      <w:tr>
        <w:trPr>
          <w:trHeight w:val="20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(123,013)</w:t>
            </w:r>
          </w:p>
        </w:tc>
      </w:tr>
      <w:tr>
        <w:trPr>
          <w:trHeight w:val="212"/>
        </w:trPr>
        <w:tc>
          <w:tcPr>
            <w:tcW w:w="6400" w:type="dxa"/>
            <w:vAlign w:val="bottom"/>
          </w:tcPr>
          <w:p>
            <w:pPr>
              <w:ind w:left="20"/>
              <w:spacing w:after="0"/>
              <w:rPr>
                <w:sz w:val="20"/>
                <w:szCs w:val="20"/>
                <w:color w:val="auto"/>
              </w:rPr>
            </w:pPr>
            <w:r>
              <w:rPr>
                <w:rFonts w:ascii="Arial" w:cs="Arial" w:eastAsia="Arial" w:hAnsi="Arial"/>
                <w:sz w:val="16"/>
                <w:szCs w:val="16"/>
                <w:color w:val="auto"/>
              </w:rPr>
              <w:t>Foreign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6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provision for income taxes for all periods presented were as follows: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06"/>
        </w:trPr>
        <w:tc>
          <w:tcPr>
            <w:tcW w:w="64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r>
      <w:tr>
        <w:trPr>
          <w:trHeight w:val="19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2"/>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State</w:t>
            </w:r>
          </w:p>
        </w:tc>
        <w:tc>
          <w:tcPr>
            <w:tcW w:w="1080" w:type="dxa"/>
            <w:vAlign w:val="bottom"/>
            <w:tcBorders>
              <w:bottom w:val="single" w:sz="8" w:color="auto"/>
            </w:tcBorders>
          </w:tcPr>
          <w:p>
            <w:pPr>
              <w:jc w:val="right"/>
              <w:ind w:right="9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31"/>
        </w:trPr>
        <w:tc>
          <w:tcPr>
            <w:tcW w:w="64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provision</w:t>
            </w: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200" w:firstLine="439"/>
        <w:spacing w:after="0" w:line="276" w:lineRule="auto"/>
        <w:rPr>
          <w:sz w:val="20"/>
          <w:szCs w:val="20"/>
          <w:color w:val="auto"/>
        </w:rPr>
      </w:pPr>
      <w:r>
        <w:rPr>
          <w:rFonts w:ascii="Arial" w:cs="Arial" w:eastAsia="Arial" w:hAnsi="Arial"/>
          <w:sz w:val="18"/>
          <w:szCs w:val="18"/>
          <w:color w:val="auto"/>
        </w:rPr>
        <w:t>A reconciliation of the provision for income taxes to the amount computed by applying the 21% statutory U.S. federal income tax rate to income before income taxes after the adoption of ASU 2023-09 is as follows: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center"/>
              <w:ind w:left="140"/>
              <w:spacing w:after="0"/>
              <w:rPr>
                <w:sz w:val="20"/>
                <w:szCs w:val="20"/>
                <w:color w:val="auto"/>
              </w:rPr>
            </w:pPr>
            <w:r>
              <w:rPr>
                <w:rFonts w:ascii="Arial" w:cs="Arial" w:eastAsia="Arial" w:hAnsi="Arial"/>
                <w:sz w:val="16"/>
                <w:szCs w:val="16"/>
                <w:b w:val="1"/>
                <w:bCs w:val="1"/>
                <w:color w:val="auto"/>
                <w:w w:val="99"/>
              </w:rPr>
              <w:t>Year Ended December 31,</w:t>
            </w:r>
          </w:p>
        </w:tc>
        <w:tc>
          <w:tcPr>
            <w:tcW w:w="620" w:type="dxa"/>
            <w:vAlign w:val="bottom"/>
            <w:tcBorders>
              <w:bottom w:val="single" w:sz="8" w:color="auto"/>
            </w:tcBorders>
          </w:tcPr>
          <w:p>
            <w:pPr>
              <w:spacing w:after="0"/>
              <w:rPr>
                <w:sz w:val="18"/>
                <w:szCs w:val="18"/>
                <w:color w:val="auto"/>
              </w:rPr>
            </w:pPr>
          </w:p>
        </w:tc>
      </w:tr>
      <w:tr>
        <w:trPr>
          <w:trHeight w:val="206"/>
        </w:trPr>
        <w:tc>
          <w:tcPr>
            <w:tcW w:w="79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r>
      <w:tr>
        <w:trPr>
          <w:trHeight w:val="20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statutory income tax rate</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(63,587)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96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State and local income tax, net of federal income tax effect </w:t>
            </w:r>
            <w:r>
              <w:rPr>
                <w:rFonts w:ascii="Arial" w:cs="Arial" w:eastAsia="Arial" w:hAnsi="Arial"/>
                <w:sz w:val="20"/>
                <w:szCs w:val="20"/>
                <w:color w:val="auto"/>
                <w:vertAlign w:val="superscript"/>
              </w:rPr>
              <w:t>(1)</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effects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2"/>
        </w:trPr>
        <w:tc>
          <w:tcPr>
            <w:tcW w:w="7960" w:type="dxa"/>
            <w:vAlign w:val="bottom"/>
          </w:tcPr>
          <w:p>
            <w:pPr>
              <w:ind w:left="340"/>
              <w:spacing w:after="0"/>
              <w:rPr>
                <w:sz w:val="20"/>
                <w:szCs w:val="20"/>
                <w:color w:val="auto"/>
              </w:rPr>
            </w:pPr>
            <w:r>
              <w:rPr>
                <w:rFonts w:ascii="Arial" w:cs="Arial" w:eastAsia="Arial" w:hAnsi="Arial"/>
                <w:sz w:val="16"/>
                <w:szCs w:val="16"/>
                <w:color w:val="auto"/>
              </w:rPr>
              <w:t>Other foreign jurisdictions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Non-taxable or non-deductible items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2"/>
        </w:trPr>
        <w:tc>
          <w:tcPr>
            <w:tcW w:w="79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4"/>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Limitation on executive compensation</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2"/>
        </w:trPr>
        <w:tc>
          <w:tcPr>
            <w:tcW w:w="796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(12,853)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74,260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items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(1) The state that makes up the majority of the effect of the state and local income tax line item is Massachusetts.</w:t>
      </w:r>
    </w:p>
    <w:p>
      <w:pPr>
        <w:spacing w:after="0" w:line="218" w:lineRule="exact"/>
        <w:rPr>
          <w:sz w:val="20"/>
          <w:szCs w:val="20"/>
          <w:color w:val="auto"/>
        </w:rPr>
      </w:pPr>
    </w:p>
    <w:p>
      <w:pPr>
        <w:ind w:right="200" w:firstLine="439"/>
        <w:spacing w:after="0" w:line="276" w:lineRule="auto"/>
        <w:rPr>
          <w:sz w:val="20"/>
          <w:szCs w:val="20"/>
          <w:color w:val="auto"/>
        </w:rPr>
      </w:pPr>
      <w:r>
        <w:rPr>
          <w:rFonts w:ascii="Arial" w:cs="Arial" w:eastAsia="Arial" w:hAnsi="Arial"/>
          <w:sz w:val="18"/>
          <w:szCs w:val="18"/>
          <w:color w:val="auto"/>
        </w:rPr>
        <w:t>A reconciliation of the provision for income taxes to the amount computed by applying the 21% statutory U.S. federal income tax rate to income before income taxes for years prior to the adoption of ASU 2023-09 is as follows:</w:t>
      </w:r>
    </w:p>
    <w:p>
      <w:pPr>
        <w:spacing w:after="0" w:line="86"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8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2023</w:t>
            </w:r>
          </w:p>
        </w:tc>
      </w:tr>
      <w:tr>
        <w:trPr>
          <w:trHeight w:val="20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statutory income tax rate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2"/>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Federal and state research and development credits</w:t>
            </w:r>
          </w:p>
        </w:tc>
        <w:tc>
          <w:tcPr>
            <w:tcW w:w="620" w:type="dxa"/>
            <w:vAlign w:val="bottom"/>
          </w:tcPr>
          <w:p>
            <w:pPr>
              <w:jc w:val="right"/>
              <w:spacing w:after="0"/>
              <w:rPr>
                <w:sz w:val="20"/>
                <w:szCs w:val="20"/>
                <w:color w:val="auto"/>
              </w:rPr>
            </w:pPr>
            <w:r>
              <w:rPr>
                <w:rFonts w:ascii="Arial" w:cs="Arial" w:eastAsia="Arial" w:hAnsi="Arial"/>
                <w:sz w:val="16"/>
                <w:szCs w:val="16"/>
                <w:color w:val="auto"/>
              </w:rPr>
              <w:t>3.9 %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14"/>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 taxes, net of federal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2"/>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Changes in tax rates</w:t>
            </w: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4"/>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executive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2"/>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Non-deductible items</w:t>
            </w:r>
          </w:p>
        </w:tc>
        <w:tc>
          <w:tcPr>
            <w:tcW w:w="62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62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14"/>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5"/>
        </w:trPr>
        <w:tc>
          <w:tcPr>
            <w:tcW w:w="78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0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
        </w:trPr>
        <w:tc>
          <w:tcPr>
            <w:tcW w:w="7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deferred tax assets consisted of the following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6"/>
                <w:szCs w:val="16"/>
                <w:b w:val="1"/>
                <w:bCs w:val="1"/>
                <w:color w:val="auto"/>
              </w:rPr>
              <w:t>Year Ended December 31,</w:t>
            </w:r>
          </w:p>
        </w:tc>
      </w:tr>
      <w:tr>
        <w:trPr>
          <w:trHeight w:val="206"/>
        </w:trPr>
        <w:tc>
          <w:tcPr>
            <w:tcW w:w="80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r>
      <w:tr>
        <w:trPr>
          <w:trHeight w:val="19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2"/>
        </w:trPr>
        <w:tc>
          <w:tcPr>
            <w:tcW w:w="8060" w:type="dxa"/>
            <w:vAlign w:val="bottom"/>
          </w:tcPr>
          <w:p>
            <w:pPr>
              <w:ind w:left="34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170,157</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90,108</w:t>
            </w:r>
          </w:p>
        </w:tc>
      </w:tr>
      <w:tr>
        <w:trPr>
          <w:trHeight w:val="214"/>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Capitalized research expenditures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65,836</w:t>
            </w:r>
          </w:p>
        </w:tc>
      </w:tr>
      <w:tr>
        <w:trPr>
          <w:trHeight w:val="212"/>
        </w:trPr>
        <w:tc>
          <w:tcPr>
            <w:tcW w:w="8060" w:type="dxa"/>
            <w:vAlign w:val="bottom"/>
          </w:tcPr>
          <w:p>
            <w:pPr>
              <w:ind w:left="340"/>
              <w:spacing w:after="0"/>
              <w:rPr>
                <w:sz w:val="20"/>
                <w:szCs w:val="20"/>
                <w:color w:val="auto"/>
              </w:rPr>
            </w:pPr>
            <w:r>
              <w:rPr>
                <w:rFonts w:ascii="Arial" w:cs="Arial" w:eastAsia="Arial" w:hAnsi="Arial"/>
                <w:sz w:val="16"/>
                <w:szCs w:val="16"/>
                <w:color w:val="auto"/>
              </w:rPr>
              <w:t>Tax credits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44,210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30,582</w:t>
            </w:r>
          </w:p>
        </w:tc>
      </w:tr>
      <w:tr>
        <w:trPr>
          <w:trHeight w:val="214"/>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20,600</w:t>
            </w:r>
          </w:p>
        </w:tc>
      </w:tr>
      <w:tr>
        <w:trPr>
          <w:trHeight w:val="212"/>
        </w:trPr>
        <w:tc>
          <w:tcPr>
            <w:tcW w:w="80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8,784</w:t>
            </w:r>
          </w:p>
        </w:tc>
      </w:tr>
      <w:tr>
        <w:trPr>
          <w:trHeight w:val="214"/>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w:t>
            </w:r>
          </w:p>
        </w:tc>
      </w:tr>
      <w:tr>
        <w:trPr>
          <w:trHeight w:val="212"/>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Leases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08"/>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deferred tax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218,587</w:t>
            </w:r>
          </w:p>
        </w:tc>
      </w:tr>
      <w:tr>
        <w:trPr>
          <w:trHeight w:val="212"/>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Valuation allowance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(218,303)</w:t>
            </w:r>
          </w:p>
        </w:tc>
      </w:tr>
      <w:tr>
        <w:trPr>
          <w:trHeight w:val="208"/>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deferred tax assets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Deferred tax liabilities: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gross deferred tax liabilities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deferred tax assets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760" w:hanging="1546"/>
        <w:spacing w:after="0"/>
        <w:tabs>
          <w:tab w:leader="none" w:pos="27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-5126355</wp:posOffset>
            </wp:positionH>
            <wp:positionV relativeFrom="paragraph">
              <wp:posOffset>-115570</wp:posOffset>
            </wp:positionV>
            <wp:extent cx="7134225" cy="143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2" w:lineRule="exact"/>
        <w:rPr>
          <w:sz w:val="20"/>
          <w:szCs w:val="20"/>
          <w:color w:val="auto"/>
        </w:rPr>
      </w:pPr>
    </w:p>
    <w:p>
      <w:pPr>
        <w:ind w:left="2760" w:hanging="1546"/>
        <w:spacing w:after="0"/>
        <w:tabs>
          <w:tab w:leader="none" w:pos="27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-5126355</wp:posOffset>
            </wp:positionH>
            <wp:positionV relativeFrom="paragraph">
              <wp:posOffset>19050</wp:posOffset>
            </wp:positionV>
            <wp:extent cx="7134225" cy="1606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2" w:lineRule="exact"/>
        <w:rPr>
          <w:sz w:val="20"/>
          <w:szCs w:val="20"/>
          <w:color w:val="auto"/>
        </w:rPr>
      </w:pPr>
    </w:p>
    <w:p>
      <w:pPr>
        <w:spacing w:after="0"/>
        <w:tabs>
          <w:tab w:leader="none" w:pos="1280" w:val="left"/>
          <w:tab w:leader="none" w:pos="16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20199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199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720"/>
            <w:col w:w="3160"/>
          </w:cols>
          <w:pgMar w:left="320" w:top="118" w:right="339" w:bottom="1440" w:gutter="0" w:footer="0" w:header="0"/>
          <w:type w:val="continuous"/>
        </w:sectPr>
      </w:pPr>
    </w:p>
    <w:p>
      <w:pPr>
        <w:spacing w:after="0" w:line="159" w:lineRule="exact"/>
        <w:rPr>
          <w:sz w:val="20"/>
          <w:szCs w:val="20"/>
          <w:color w:val="auto"/>
        </w:rPr>
      </w:pPr>
    </w:p>
    <w:p>
      <w:pPr>
        <w:jc w:val="both"/>
        <w:ind w:right="120" w:firstLine="439"/>
        <w:spacing w:after="0" w:line="254" w:lineRule="auto"/>
        <w:rPr>
          <w:sz w:val="20"/>
          <w:szCs w:val="20"/>
          <w:color w:val="auto"/>
        </w:rPr>
      </w:pPr>
      <w:r>
        <w:rPr>
          <w:rFonts w:ascii="Arial" w:cs="Arial" w:eastAsia="Arial" w:hAnsi="Arial"/>
          <w:sz w:val="18"/>
          <w:szCs w:val="18"/>
          <w:color w:val="auto"/>
        </w:rPr>
        <w:t>As of December 31, 2025 and 2024, the Company had U.S. federal net operating loss carryforwards which may be able to offset future income tax liabilities of approximately $657.2 million and $342.4 million, respectively. Federal net operating loss carryforwards of $7.7 million will expire at various dates from 2035 through 2037 and approximately $649.5 million may be carried forward indefinitely. As of December 31, 2025 and 2024, the Company also had state net operating loss carryforwards of approximately $515.6 million and $289.7 million, respectively, which may be available to offset future income tax liabilities and expire at various dates from 2031 through 2045.</w:t>
      </w:r>
    </w:p>
    <w:p>
      <w:pPr>
        <w:spacing w:after="0" w:line="183" w:lineRule="exact"/>
        <w:rPr>
          <w:sz w:val="20"/>
          <w:szCs w:val="20"/>
          <w:color w:val="auto"/>
        </w:rPr>
      </w:pPr>
    </w:p>
    <w:p>
      <w:pPr>
        <w:ind w:right="100" w:firstLine="439"/>
        <w:spacing w:after="0" w:line="250" w:lineRule="auto"/>
        <w:rPr>
          <w:sz w:val="20"/>
          <w:szCs w:val="20"/>
          <w:color w:val="auto"/>
        </w:rPr>
      </w:pPr>
      <w:r>
        <w:rPr>
          <w:rFonts w:ascii="Arial" w:cs="Arial" w:eastAsia="Arial" w:hAnsi="Arial"/>
          <w:sz w:val="18"/>
          <w:szCs w:val="18"/>
          <w:color w:val="auto"/>
        </w:rPr>
        <w:t>As of December 31, 2025 and 2024, the Company had federal research and development tax credit and orphan drug tax credit carryforwards of approximately $40.2 million and $27.3 million, respectively, available to reduce future tax liabilities which expire at various dates from 2039 through 2045. As of December 31, 2025 and 2024, the Company had state research and development tax credit carryforwards of approximately $5.1 million and $4.1 million, respectively, available to reduce future tax liabilities which expire at various dates from 2032 through 2040. The Company has generated research and orphan drug tax credits but has not conducted a study to document the qualified activity.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 deferred tax asset adjustment is required, this adjustment would be offset by the valuation allowance.</w:t>
      </w:r>
    </w:p>
    <w:p>
      <w:pPr>
        <w:spacing w:after="0" w:line="189" w:lineRule="exact"/>
        <w:rPr>
          <w:sz w:val="20"/>
          <w:szCs w:val="20"/>
          <w:color w:val="auto"/>
        </w:rPr>
      </w:pPr>
    </w:p>
    <w:p>
      <w:pPr>
        <w:ind w:right="40" w:firstLine="439"/>
        <w:spacing w:after="0" w:line="249" w:lineRule="auto"/>
        <w:rPr>
          <w:sz w:val="20"/>
          <w:szCs w:val="20"/>
          <w:color w:val="auto"/>
        </w:rPr>
      </w:pPr>
      <w:r>
        <w:rPr>
          <w:rFonts w:ascii="Arial" w:cs="Arial" w:eastAsia="Arial" w:hAnsi="Arial"/>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182" w:lineRule="exact"/>
        <w:rPr>
          <w:sz w:val="20"/>
          <w:szCs w:val="20"/>
          <w:color w:val="auto"/>
        </w:rPr>
      </w:pPr>
    </w:p>
    <w:p>
      <w:pPr>
        <w:ind w:right="40" w:firstLine="439"/>
        <w:spacing w:after="0" w:line="250"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both positive and negative, the Company has recorded a valuation allowance against its deferred tax assets at December 31, 2025 and 2024 because management has determined that it is more likely than not that the Company will not recognize the benefits of its federal and state deferred tax assets, primarily due to its history of cumulative net losses incurred since inception and its lack of commercialization of any products or generation of any revenue from product sales since inception. As a result, a valuation allowance of $306.6 million and $218.3 million has been established at December 31, 2025 and 2024, respectively. Management reevaluates the positive and negative evidence at each reporting period. The valuation allowance increased by approximately $88.3 million and $37.8 million during the years ended December 31, 2025 and 2024, respectively, due primarily to the generation of net operating losses.</w:t>
      </w:r>
    </w:p>
    <w:p>
      <w:pPr>
        <w:spacing w:after="0" w:line="189" w:lineRule="exact"/>
        <w:rPr>
          <w:sz w:val="20"/>
          <w:szCs w:val="20"/>
          <w:color w:val="auto"/>
        </w:rPr>
      </w:pPr>
    </w:p>
    <w:p>
      <w:pPr>
        <w:ind w:firstLine="439"/>
        <w:spacing w:after="0" w:line="251" w:lineRule="auto"/>
        <w:rPr>
          <w:sz w:val="20"/>
          <w:szCs w:val="20"/>
          <w:color w:val="auto"/>
        </w:rPr>
      </w:pPr>
      <w:r>
        <w:rPr>
          <w:rFonts w:ascii="Arial" w:cs="Arial" w:eastAsia="Arial" w:hAnsi="Arial"/>
          <w:sz w:val="18"/>
          <w:szCs w:val="18"/>
          <w:color w:val="auto"/>
        </w:rPr>
        <w:t>The Company has not recorded any amounts for unrecognized tax benefits as of December 31, 2025 and 2024. The Company’s policy is to record interest and penalties related to uncertain tax positions as part of its income tax provision. As of December 31, 2025 and 2024, the Company had no accrued interest or penalties related to uncertain tax positions and no such amounts have been recognized in the Company’s consolidated statement of operations for the years ended December 31, 2025, 2024, and 2023. The statute of limitations for federal and the majority of state tax authorities is open for tax years ended December 31, 2022 through December 31, 2025. The statute of limitation for the remaining state tax authorities is open for tax years ended December 31, 2021 through December 31, 2025. Since the Company is in a net loss carryforward position, the Company is generally subject to examination by the U.S. federal, state and local income tax authorities for all tax years in which a loss carryforward is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amounts of cash income taxes paid by the Company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00"/>
              <w:spacing w:after="0"/>
              <w:rPr>
                <w:sz w:val="20"/>
                <w:szCs w:val="20"/>
                <w:color w:val="auto"/>
              </w:rPr>
            </w:pPr>
            <w:r>
              <w:rPr>
                <w:rFonts w:ascii="Arial" w:cs="Arial" w:eastAsia="Arial" w:hAnsi="Arial"/>
                <w:sz w:val="16"/>
                <w:szCs w:val="16"/>
                <w:b w:val="1"/>
                <w:bCs w:val="1"/>
                <w:color w:val="auto"/>
                <w:w w:val="97"/>
              </w:rPr>
              <w:t>Year Ended</w:t>
            </w:r>
          </w:p>
        </w:tc>
      </w:tr>
      <w:tr>
        <w:trPr>
          <w:trHeight w:val="213"/>
        </w:trPr>
        <w:tc>
          <w:tcPr>
            <w:tcW w:w="9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99"/>
              </w:rPr>
              <w:t>December 31,</w:t>
            </w:r>
          </w:p>
        </w:tc>
      </w:tr>
      <w:tr>
        <w:trPr>
          <w:trHeight w:val="206"/>
        </w:trPr>
        <w:tc>
          <w:tcPr>
            <w:tcW w:w="9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00"/>
              <w:spacing w:after="0"/>
              <w:rPr>
                <w:sz w:val="20"/>
                <w:szCs w:val="20"/>
                <w:color w:val="auto"/>
              </w:rPr>
            </w:pPr>
            <w:r>
              <w:rPr>
                <w:rFonts w:ascii="Arial" w:cs="Arial" w:eastAsia="Arial" w:hAnsi="Arial"/>
                <w:sz w:val="16"/>
                <w:szCs w:val="16"/>
                <w:b w:val="1"/>
                <w:bCs w:val="1"/>
                <w:color w:val="auto"/>
                <w:w w:val="95"/>
              </w:rPr>
              <w:t>2025</w:t>
            </w:r>
          </w:p>
        </w:tc>
      </w:tr>
      <w:tr>
        <w:trPr>
          <w:trHeight w:val="21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1"/>
        </w:trPr>
        <w:tc>
          <w:tcPr>
            <w:tcW w:w="9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14" w:lineRule="exact"/>
        <w:rPr>
          <w:sz w:val="20"/>
          <w:szCs w:val="20"/>
          <w:color w:val="auto"/>
        </w:rPr>
      </w:pPr>
    </w:p>
    <w:p>
      <w:pPr>
        <w:jc w:val="both"/>
        <w:ind w:right="240" w:firstLine="439"/>
        <w:spacing w:after="0" w:line="261" w:lineRule="auto"/>
        <w:rPr>
          <w:sz w:val="20"/>
          <w:szCs w:val="20"/>
          <w:color w:val="auto"/>
        </w:rPr>
      </w:pPr>
      <w:r>
        <w:rPr>
          <w:rFonts w:ascii="Arial" w:cs="Arial" w:eastAsia="Arial" w:hAnsi="Arial"/>
          <w:sz w:val="18"/>
          <w:szCs w:val="18"/>
          <w:color w:val="auto"/>
        </w:rPr>
        <w:t>One of the founders of RogCon is the Company's General Counsel. During the years ended December 31, 2025, 2024, and 2023, the Company reimbursed RogCon for its out-of-pocket costs incurred for activities performed under the License Agreement (Note 11). Expenses incurred during all periods presented were not material.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w:t>
      </w:r>
    </w:p>
    <w:p>
      <w:pPr>
        <w:spacing w:after="0" w:line="114" w:lineRule="exact"/>
        <w:rPr>
          <w:sz w:val="20"/>
          <w:szCs w:val="20"/>
          <w:color w:val="auto"/>
        </w:rPr>
      </w:pPr>
    </w:p>
    <w:p>
      <w:pPr>
        <w:ind w:right="320" w:firstLine="439"/>
        <w:spacing w:after="0" w:line="256"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for eligible employees. The plan covers substantially all employees who meet a minimum age requirement and allows participants to defer a portion of their annual compensation. Under the plan, the Company is not obligated to match any participant contributions. The Company made contributions of $1.6 million, $1.2 million, and $1.0 million during the years ended December 31, 2025, 2024, and 2023, respectively</w:t>
      </w:r>
      <w:r>
        <w:rPr>
          <w:rFonts w:ascii="Times New Roman" w:cs="Times New Roman" w:eastAsia="Times New Roman" w:hAnsi="Times New Roman"/>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14" w:lineRule="exact"/>
        <w:rPr>
          <w:sz w:val="20"/>
          <w:szCs w:val="20"/>
          <w:color w:val="auto"/>
        </w:rPr>
      </w:pPr>
    </w:p>
    <w:p>
      <w:pPr>
        <w:jc w:val="both"/>
        <w:ind w:right="80" w:firstLine="439"/>
        <w:spacing w:after="0" w:line="261" w:lineRule="auto"/>
        <w:rPr>
          <w:sz w:val="20"/>
          <w:szCs w:val="20"/>
          <w:color w:val="auto"/>
        </w:rPr>
      </w:pPr>
      <w:r>
        <w:rPr>
          <w:rFonts w:ascii="Arial" w:cs="Arial" w:eastAsia="Arial" w:hAnsi="Arial"/>
          <w:sz w:val="18"/>
          <w:szCs w:val="18"/>
          <w:color w:val="auto"/>
        </w:rPr>
        <w:t>The Company has one operating segment. The Company's operating segment discovers and develops therapies for CNS disorders. The Company's chief operating decision maker ("CODM"), its Chief Executive Officer, manages the Company's operations on a consolidated basis for the purposes of assessing performance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0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allocating resources based on net loss that also is reported on the consolidated statement of operations as consolidated net loss. Net loss is used by the CODM to make key strategic and operational decisions. The operating segment's revenue is derived from a single domestic collaboration agreement from which the segment licenses certain development or product candidates and has performed research and development services. The measure of segment assets is reported on the balance sheet as total consolidated assets. The majority of the Company's long-lived assets are held in the United States.</w:t>
      </w:r>
    </w:p>
    <w:p>
      <w:pPr>
        <w:spacing w:after="0" w:line="183" w:lineRule="exact"/>
        <w:rPr>
          <w:sz w:val="20"/>
          <w:szCs w:val="20"/>
          <w:color w:val="auto"/>
        </w:rPr>
      </w:pPr>
    </w:p>
    <w:p>
      <w:pPr>
        <w:ind w:right="40" w:firstLine="439"/>
        <w:spacing w:after="0" w:line="276" w:lineRule="auto"/>
        <w:rPr>
          <w:sz w:val="20"/>
          <w:szCs w:val="20"/>
          <w:color w:val="auto"/>
        </w:rPr>
      </w:pPr>
      <w:r>
        <w:rPr>
          <w:rFonts w:ascii="Arial" w:cs="Arial" w:eastAsia="Arial" w:hAnsi="Arial"/>
          <w:sz w:val="18"/>
          <w:szCs w:val="18"/>
          <w:color w:val="auto"/>
        </w:rPr>
        <w:t>The following table presents selected financial information about the Company's single operating segment for the years ended December 31, 2025, 2024, and 2023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6"/>
        </w:trPr>
        <w:tc>
          <w:tcPr>
            <w:tcW w:w="64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r>
      <w:tr>
        <w:trPr>
          <w:trHeight w:val="20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r>
      <w:tr>
        <w:trPr>
          <w:trHeight w:val="212"/>
        </w:trPr>
        <w:tc>
          <w:tcPr>
            <w:tcW w:w="6440" w:type="dxa"/>
            <w:vAlign w:val="bottom"/>
          </w:tcPr>
          <w:p>
            <w:pPr>
              <w:ind w:left="20"/>
              <w:spacing w:after="0"/>
              <w:rPr>
                <w:sz w:val="20"/>
                <w:szCs w:val="20"/>
                <w:color w:val="auto"/>
              </w:rPr>
            </w:pPr>
            <w:r>
              <w:rPr>
                <w:rFonts w:ascii="Arial" w:cs="Arial" w:eastAsia="Arial" w:hAnsi="Arial"/>
                <w:sz w:val="16"/>
                <w:szCs w:val="16"/>
                <w:color w:val="auto"/>
              </w:rPr>
              <w:t>Program-specific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440" w:type="dxa"/>
            <w:vAlign w:val="bottom"/>
            <w:shd w:val="clear" w:color="auto" w:fill="CCEEFF"/>
          </w:tcPr>
          <w:p>
            <w:pPr>
              <w:ind w:left="460"/>
              <w:spacing w:after="0" w:line="214" w:lineRule="exact"/>
              <w:rPr>
                <w:sz w:val="20"/>
                <w:szCs w:val="20"/>
                <w:color w:val="auto"/>
              </w:rPr>
            </w:pPr>
            <w:r>
              <w:rPr>
                <w:rFonts w:ascii="Arial" w:cs="Arial" w:eastAsia="Arial" w:hAnsi="Arial"/>
                <w:sz w:val="16"/>
                <w:szCs w:val="16"/>
                <w:color w:val="auto"/>
              </w:rPr>
              <w:t>Ulixacaltamide</w:t>
            </w:r>
            <w:r>
              <w:rPr>
                <w:rFonts w:ascii="Arial" w:cs="Arial" w:eastAsia="Arial" w:hAnsi="Arial"/>
                <w:sz w:val="20"/>
                <w:szCs w:val="20"/>
                <w:color w:val="auto"/>
                <w:vertAlign w:val="subscript"/>
              </w:rPr>
              <w:t>(a)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19,464</w:t>
            </w:r>
          </w:p>
        </w:tc>
      </w:tr>
      <w:tr>
        <w:trPr>
          <w:trHeight w:val="212"/>
        </w:trPr>
        <w:tc>
          <w:tcPr>
            <w:tcW w:w="6440" w:type="dxa"/>
            <w:vAlign w:val="bottom"/>
          </w:tcPr>
          <w:p>
            <w:pPr>
              <w:ind w:left="460"/>
              <w:spacing w:after="0"/>
              <w:rPr>
                <w:sz w:val="20"/>
                <w:szCs w:val="20"/>
                <w:color w:val="auto"/>
              </w:rPr>
            </w:pPr>
            <w:r>
              <w:rPr>
                <w:rFonts w:ascii="Arial" w:cs="Arial" w:eastAsia="Arial" w:hAnsi="Arial"/>
                <w:sz w:val="16"/>
                <w:szCs w:val="16"/>
                <w:color w:val="auto"/>
              </w:rPr>
              <w:t>Vormatrigine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74,059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6,275</w:t>
            </w:r>
          </w:p>
        </w:tc>
      </w:tr>
      <w:tr>
        <w:trPr>
          <w:trHeight w:val="214"/>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Relutrigine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r>
      <w:tr>
        <w:trPr>
          <w:trHeight w:val="212"/>
        </w:trPr>
        <w:tc>
          <w:tcPr>
            <w:tcW w:w="6440" w:type="dxa"/>
            <w:vAlign w:val="bottom"/>
          </w:tcPr>
          <w:p>
            <w:pPr>
              <w:ind w:left="460"/>
              <w:spacing w:after="0"/>
              <w:rPr>
                <w:sz w:val="20"/>
                <w:szCs w:val="20"/>
                <w:color w:val="auto"/>
              </w:rPr>
            </w:pPr>
            <w:r>
              <w:rPr>
                <w:rFonts w:ascii="Arial" w:cs="Arial" w:eastAsia="Arial" w:hAnsi="Arial"/>
                <w:sz w:val="16"/>
                <w:szCs w:val="16"/>
                <w:color w:val="auto"/>
              </w:rPr>
              <w:t>Elsunersen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14,595</w:t>
            </w:r>
          </w:p>
        </w:tc>
      </w:tr>
      <w:tr>
        <w:trPr>
          <w:trHeight w:val="214"/>
        </w:trPr>
        <w:tc>
          <w:tcPr>
            <w:tcW w:w="64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early stage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w:t>
            </w:r>
          </w:p>
        </w:tc>
      </w:tr>
      <w:tr>
        <w:trPr>
          <w:trHeight w:val="212"/>
        </w:trPr>
        <w:tc>
          <w:tcPr>
            <w:tcW w:w="6440" w:type="dxa"/>
            <w:vAlign w:val="bottom"/>
          </w:tcPr>
          <w:p>
            <w:pPr>
              <w:ind w:left="20"/>
              <w:spacing w:after="0"/>
              <w:rPr>
                <w:sz w:val="20"/>
                <w:szCs w:val="20"/>
                <w:color w:val="auto"/>
              </w:rPr>
            </w:pPr>
            <w:r>
              <w:rPr>
                <w:rFonts w:ascii="Arial" w:cs="Arial" w:eastAsia="Arial" w:hAnsi="Arial"/>
                <w:sz w:val="16"/>
                <w:szCs w:val="16"/>
                <w:color w:val="auto"/>
              </w:rPr>
              <w:t>Personnel-related expenses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64,719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42,853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33,160</w:t>
            </w:r>
          </w:p>
        </w:tc>
      </w:tr>
      <w:tr>
        <w:trPr>
          <w:trHeight w:val="214"/>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24,857</w:t>
            </w:r>
          </w:p>
        </w:tc>
      </w:tr>
      <w:tr>
        <w:trPr>
          <w:trHeight w:val="212"/>
        </w:trPr>
        <w:tc>
          <w:tcPr>
            <w:tcW w:w="6440" w:type="dxa"/>
            <w:vAlign w:val="bottom"/>
          </w:tcPr>
          <w:p>
            <w:pPr>
              <w:ind w:left="2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14"/>
        </w:trPr>
        <w:tc>
          <w:tcPr>
            <w:tcW w:w="644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0"/>
                <w:szCs w:val="20"/>
                <w:color w:val="auto"/>
                <w:vertAlign w:val="subscript"/>
              </w:rPr>
              <w:t>(b)</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18,986</w:t>
            </w:r>
          </w:p>
        </w:tc>
      </w:tr>
      <w:tr>
        <w:trPr>
          <w:trHeight w:val="21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r>
      <w:tr>
        <w:trPr>
          <w:trHeight w:val="23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loss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(303,268)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(123,277)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220" w:hanging="214"/>
        <w:spacing w:after="0"/>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non-cash research and development of $2.5 million in the year ended December 31, 2024 associated with the Company's collaboration with Tenacia.</w:t>
      </w:r>
    </w:p>
    <w:p>
      <w:pPr>
        <w:spacing w:after="0" w:line="25" w:lineRule="exact"/>
        <w:rPr>
          <w:rFonts w:ascii="Arial" w:cs="Arial" w:eastAsia="Arial" w:hAnsi="Arial"/>
          <w:sz w:val="14"/>
          <w:szCs w:val="14"/>
          <w:color w:val="auto"/>
        </w:rPr>
      </w:pPr>
    </w:p>
    <w:p>
      <w:pPr>
        <w:ind w:left="220" w:hanging="214"/>
        <w:spacing w:after="0"/>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Other segment expenses includes research and development and general and administrative costs not attributable to a specific program</w:t>
      </w:r>
      <w:r>
        <w:rPr>
          <w:rFonts w:ascii="Arial" w:cs="Arial" w:eastAsia="Arial" w:hAnsi="Arial"/>
          <w:sz w:val="17"/>
          <w:szCs w:val="17"/>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14" w:lineRule="exact"/>
        <w:rPr>
          <w:sz w:val="20"/>
          <w:szCs w:val="20"/>
          <w:color w:val="auto"/>
        </w:rPr>
      </w:pPr>
    </w:p>
    <w:p>
      <w:pPr>
        <w:ind w:right="140" w:firstLine="439"/>
        <w:spacing w:after="0" w:line="261"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The Company has concluded that no subsequent events have occurred that require disclosure other than those noted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2026 Public Offering</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January 7, 2026, the Company completed a public offering of 2,543,800 shares of its common stock at a public offering price of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$260.00 per share, including the underwriters' full exercise of their option to purchase 331,800 additional shares of common stock. Total net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proceeds generated from the offering were approximately $621.2 million, after deducting underwriting discounts, commissions and other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 payable by the Company.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2"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2"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89" w:lineRule="exact"/>
        <w:rPr>
          <w:sz w:val="20"/>
          <w:szCs w:val="20"/>
          <w:color w:val="auto"/>
        </w:rPr>
      </w:pPr>
    </w:p>
    <w:p>
      <w:pPr>
        <w:ind w:right="380" w:firstLine="439"/>
        <w:spacing w:after="0" w:line="256" w:lineRule="auto"/>
        <w:rPr>
          <w:sz w:val="20"/>
          <w:szCs w:val="20"/>
          <w:color w:val="auto"/>
        </w:rPr>
      </w:pPr>
      <w:r>
        <w:rPr>
          <w:rFonts w:ascii="Arial" w:cs="Arial" w:eastAsia="Arial" w:hAnsi="Arial"/>
          <w:sz w:val="18"/>
          <w:szCs w:val="18"/>
          <w:color w:val="auto"/>
        </w:rPr>
        <w:t>Our management, with the participation of our Chief Executive Officer (our principal executive officer) and Chief Financial Officer (our principal financial officer), evaluated the effectiveness of our disclosure controls and procedures as of December 31, 2025.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2" w:lineRule="exact"/>
        <w:rPr>
          <w:sz w:val="20"/>
          <w:szCs w:val="20"/>
          <w:color w:val="auto"/>
        </w:rPr>
      </w:pPr>
    </w:p>
    <w:p>
      <w:pPr>
        <w:ind w:right="220" w:firstLine="439"/>
        <w:spacing w:after="0" w:line="276"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2025 that have materially affected, or are reasonably likely to materially affect, our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2" w:lineRule="exact"/>
        <w:rPr>
          <w:sz w:val="20"/>
          <w:szCs w:val="20"/>
          <w:color w:val="auto"/>
        </w:rPr>
      </w:pPr>
    </w:p>
    <w:p>
      <w:pPr>
        <w:ind w:right="320" w:firstLine="439"/>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Rules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2025. Management based its assessment on criteria established in "Internal Control - Integrated Framework (2013)" issued by the Committee of Sponsoring Organizations of the Treadway Commission (COSO). Based on that assessment, our management concluded that our internal control over financial reporting was effective as of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Independent Registered Public Accounting Firm</w:t>
      </w:r>
    </w:p>
    <w:p>
      <w:pPr>
        <w:spacing w:after="0" w:line="112" w:lineRule="exact"/>
        <w:rPr>
          <w:sz w:val="20"/>
          <w:szCs w:val="20"/>
          <w:color w:val="auto"/>
        </w:rPr>
      </w:pPr>
    </w:p>
    <w:p>
      <w:pPr>
        <w:ind w:right="540" w:firstLine="439"/>
        <w:spacing w:after="0" w:line="276" w:lineRule="auto"/>
        <w:rPr>
          <w:sz w:val="20"/>
          <w:szCs w:val="20"/>
          <w:color w:val="auto"/>
        </w:rPr>
      </w:pPr>
      <w:r>
        <w:rPr>
          <w:rFonts w:ascii="Arial" w:cs="Arial" w:eastAsia="Arial" w:hAnsi="Arial"/>
          <w:sz w:val="18"/>
          <w:szCs w:val="18"/>
          <w:color w:val="auto"/>
        </w:rPr>
        <w:t>Ernst &amp; Young LLP, an independent registered public accounting firm, audited the effectiveness of our internal control over financial reporting as of December 31, 2025, as stated in their attestation report included in this Annual Report on Form 10-K.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Praxis Precision Medicines,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Praxis Precision Medicines, Inc.’s internal control over financial reporting as of December 31, 2025, based on criteria established in Internal Control—Integrated Framework issued by the Committee of Sponsoring Organizations of the Treadway Commission (2013 framework) (the COSO criteria). In our opinion, Praxis Precision Medicines, Inc. (the Company) maintained, in all material respects, effective internal control over financial reporting as of December 31, 2025, based on the COSO criteria.</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stockholders’ equity, and cash flows for each of the three years in the period ended December 31, 2025, and the related notes and our report dated February 19, 2026 expressed an unqualified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2026</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4" w:lineRule="exact"/>
        <w:rPr>
          <w:sz w:val="20"/>
          <w:szCs w:val="20"/>
          <w:color w:val="auto"/>
        </w:rPr>
      </w:pPr>
    </w:p>
    <w:p>
      <w:pPr>
        <w:ind w:left="1080" w:right="6540" w:hanging="634"/>
        <w:spacing w:after="0" w:line="400" w:lineRule="auto"/>
        <w:tabs>
          <w:tab w:leader="none" w:pos="7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Disclosure in lieu of a Current Report on Form 8-K. None.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80" w:right="1440" w:hanging="634"/>
        <w:spacing w:after="0" w:line="370" w:lineRule="auto"/>
        <w:tabs>
          <w:tab w:leader="none" w:pos="7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 None.</w:t>
      </w:r>
    </w:p>
    <w:p>
      <w:pPr>
        <w:ind w:left="700" w:hanging="254"/>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112" w:lineRule="exact"/>
        <w:rPr>
          <w:sz w:val="20"/>
          <w:szCs w:val="20"/>
          <w:color w:val="auto"/>
        </w:rPr>
      </w:pPr>
    </w:p>
    <w:p>
      <w:pPr>
        <w:ind w:left="640" w:firstLine="439"/>
        <w:spacing w:after="0" w:line="276" w:lineRule="auto"/>
        <w:rPr>
          <w:sz w:val="20"/>
          <w:szCs w:val="20"/>
          <w:color w:val="auto"/>
        </w:rPr>
      </w:pPr>
      <w:r>
        <w:rPr>
          <w:rFonts w:ascii="Arial" w:cs="Arial" w:eastAsia="Arial" w:hAnsi="Arial"/>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name, age, and position of each of our current executive officers and directors as of February 19, 2026: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Age</w:t>
            </w:r>
          </w:p>
        </w:tc>
        <w:tc>
          <w:tcPr>
            <w:tcW w:w="5000" w:type="dxa"/>
            <w:vAlign w:val="bottom"/>
          </w:tcPr>
          <w:p>
            <w:pPr>
              <w:ind w:left="2160"/>
              <w:spacing w:after="0"/>
              <w:rPr>
                <w:sz w:val="20"/>
                <w:szCs w:val="20"/>
                <w:color w:val="auto"/>
              </w:rPr>
            </w:pPr>
            <w:r>
              <w:rPr>
                <w:rFonts w:ascii="Arial" w:cs="Arial" w:eastAsia="Arial" w:hAnsi="Arial"/>
                <w:sz w:val="18"/>
                <w:szCs w:val="18"/>
                <w:b w:val="1"/>
                <w:bCs w:val="1"/>
                <w:color w:val="auto"/>
              </w:rPr>
              <w:t>Position</w:t>
            </w:r>
          </w:p>
        </w:tc>
      </w:tr>
      <w:tr>
        <w:trPr>
          <w:trHeight w:val="220"/>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0" w:type="dxa"/>
            <w:vAlign w:val="bottom"/>
            <w:tcBorders>
              <w:top w:val="single" w:sz="8" w:color="auto"/>
            </w:tcBorders>
            <w:shd w:val="clear" w:color="auto" w:fill="CCEEFF"/>
          </w:tcPr>
          <w:p>
            <w:pPr>
              <w:spacing w:after="0"/>
              <w:rPr>
                <w:sz w:val="19"/>
                <w:szCs w:val="19"/>
                <w:color w:val="auto"/>
              </w:rPr>
            </w:pPr>
          </w:p>
        </w:tc>
      </w:tr>
      <w:tr>
        <w:trPr>
          <w:trHeight w:val="22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Marcio Souza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Chief Executive Officer, Director</w:t>
            </w:r>
          </w:p>
        </w:tc>
      </w:tr>
      <w:tr>
        <w:trPr>
          <w:trHeight w:val="22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Timothy Kelly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2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Alex Nemiroff, J.D.</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General Counsel, Corporate Secretary</w:t>
            </w:r>
          </w:p>
        </w:tc>
      </w:tr>
      <w:tr>
        <w:trPr>
          <w:trHeight w:val="22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Megan Sniecinski</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Operating Officer</w:t>
            </w:r>
          </w:p>
        </w:tc>
      </w:tr>
      <w:tr>
        <w:trPr>
          <w:trHeight w:val="226"/>
        </w:trPr>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0" w:type="dxa"/>
            <w:vAlign w:val="bottom"/>
          </w:tcPr>
          <w:p>
            <w:pPr>
              <w:spacing w:after="0"/>
              <w:rPr>
                <w:sz w:val="19"/>
                <w:szCs w:val="19"/>
                <w:color w:val="auto"/>
              </w:rPr>
            </w:pPr>
          </w:p>
        </w:tc>
      </w:tr>
      <w:tr>
        <w:trPr>
          <w:trHeight w:val="22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Dean Mitchell(2)(4)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70</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Director</w:t>
            </w:r>
          </w:p>
        </w:tc>
      </w:tr>
      <w:tr>
        <w:trPr>
          <w:trHeight w:val="22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Stuart Arbuckle(2)(4)</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Jeffrey Chodakewitz, M.D.(3)(4)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70</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Merit Cudkowicz, M.D.(1)(4)</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Jill DeSimone(1)(2)(3)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70</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Jeffrey Kindler(1)(3)</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Norden(1)(2)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68</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William Young(2)(3)</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81</w:t>
            </w:r>
          </w:p>
        </w:tc>
        <w:tc>
          <w:tcPr>
            <w:tcW w:w="1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4" w:lineRule="exact"/>
        <w:rPr>
          <w:sz w:val="20"/>
          <w:szCs w:val="20"/>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6" w:lineRule="exact"/>
        <w:rPr>
          <w:rFonts w:ascii="Arial" w:cs="Arial" w:eastAsia="Arial" w:hAnsi="Arial"/>
          <w:sz w:val="18"/>
          <w:szCs w:val="18"/>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Member of the Science and Technology Committee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4" w:lineRule="exact"/>
        <w:rPr>
          <w:sz w:val="20"/>
          <w:szCs w:val="20"/>
          <w:color w:val="auto"/>
        </w:rPr>
      </w:pPr>
    </w:p>
    <w:p>
      <w:pPr>
        <w:ind w:right="140" w:firstLine="320"/>
        <w:spacing w:after="0" w:line="250" w:lineRule="auto"/>
        <w:rPr>
          <w:sz w:val="20"/>
          <w:szCs w:val="20"/>
          <w:color w:val="auto"/>
        </w:rPr>
      </w:pPr>
      <w:r>
        <w:rPr>
          <w:rFonts w:ascii="Arial" w:cs="Arial" w:eastAsia="Arial" w:hAnsi="Arial"/>
          <w:sz w:val="18"/>
          <w:szCs w:val="18"/>
          <w:b w:val="1"/>
          <w:bCs w:val="1"/>
          <w:i w:val="1"/>
          <w:iCs w:val="1"/>
          <w:color w:val="auto"/>
        </w:rPr>
        <w:t xml:space="preserve">Marcio Souza </w:t>
      </w:r>
      <w:r>
        <w:rPr>
          <w:rFonts w:ascii="Arial" w:cs="Arial" w:eastAsia="Arial" w:hAnsi="Arial"/>
          <w:sz w:val="18"/>
          <w:szCs w:val="18"/>
          <w:color w:val="auto"/>
        </w:rPr>
        <w:t>has served as a member of our Board of Directors and our President and Chief Executive Officer since April 2020.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us, Mr. Souza was at PTC Therapeutics, Inc., or PTC, where he served as its Chief Operating Officer from May 2017 to April 2020 and its Senior Vice President and Head of Product Strategy from July 2016 to May 2017. Prior to joining PTC, Mr. Souza served in positions of increasing responsibility at NPS Pharmaceuticals, Inc., Shire Human Genetic Therapies Inc. and Sanofi Genzyme Corporation. Mr. Souza currently serves on the board of directors of Remagine Labs, a private company. Mr. Souza previously served on the boards of directors of Spyre Therapeutics, Inc. (previously Aeglea BioTherapeutics, Inc.) and Clearpoint Neuro, Inc. (previously MRI Interventions, Inc.). Mr. Souza received a degree in pharmacy and biochemistry with a specialization in toxicology and clinical analysis from the University of São Paulo and an M.B.A. from Fundação Dom Cabral. We believe Mr. Souza is qualified to serve on our Board of Directors because of his business and leadership experience in the life sciences industry and his scientific background.</w:t>
      </w:r>
    </w:p>
    <w:p>
      <w:pPr>
        <w:spacing w:after="0" w:line="83" w:lineRule="exact"/>
        <w:rPr>
          <w:sz w:val="20"/>
          <w:szCs w:val="20"/>
          <w:color w:val="auto"/>
        </w:rPr>
      </w:pPr>
    </w:p>
    <w:p>
      <w:pPr>
        <w:ind w:right="140" w:firstLine="320"/>
        <w:spacing w:after="0" w:line="251" w:lineRule="auto"/>
        <w:rPr>
          <w:sz w:val="20"/>
          <w:szCs w:val="20"/>
          <w:color w:val="auto"/>
        </w:rPr>
      </w:pPr>
      <w:r>
        <w:rPr>
          <w:rFonts w:ascii="Arial" w:cs="Arial" w:eastAsia="Arial" w:hAnsi="Arial"/>
          <w:sz w:val="18"/>
          <w:szCs w:val="18"/>
          <w:b w:val="1"/>
          <w:bCs w:val="1"/>
          <w:i w:val="1"/>
          <w:iCs w:val="1"/>
          <w:color w:val="auto"/>
        </w:rPr>
        <w:t xml:space="preserve">Timothy Kelly </w:t>
      </w:r>
      <w:r>
        <w:rPr>
          <w:rFonts w:ascii="Arial" w:cs="Arial" w:eastAsia="Arial" w:hAnsi="Arial"/>
          <w:sz w:val="18"/>
          <w:szCs w:val="18"/>
          <w:color w:val="auto"/>
        </w:rPr>
        <w:t>has served as our Chief Financial Officer since May 2021. Prior to his role as Chief Financial Officer, Mr. Kelly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Foundation Medicine, Inc. from 2019 to April 2021. In this position, he led the finance and corporate management teams, providing strategic leadership and oversight for the corporate functions, which included accounting and tax, billing and reimbursement, procurement, corporate development, project management and financial planning and analysis. Prior to his time at Foundation Medicine, Mr. Kelly served in several finance roles of increasing responsibility at the F. Hoffman-La Roche AG, or Roche, and Genentech (before being acquired by Roche in 2009) from 2003 to 2019, including finance and corporate services director for Roche Pharma in the United Kingdom from 2017 to 2019 and head of group strategic planning for the Roche Group in Switzerland from 2013 to 2017. Mr. Kelly holds a B.A. in economics from the College of William and Mary and an M.B.A. from the Columbia Business School.</w:t>
      </w:r>
    </w:p>
    <w:p>
      <w:pPr>
        <w:spacing w:after="0" w:line="79" w:lineRule="exact"/>
        <w:rPr>
          <w:sz w:val="20"/>
          <w:szCs w:val="20"/>
          <w:color w:val="auto"/>
        </w:rPr>
      </w:pPr>
    </w:p>
    <w:p>
      <w:pPr>
        <w:ind w:right="20" w:firstLine="320"/>
        <w:spacing w:after="0" w:line="261" w:lineRule="auto"/>
        <w:rPr>
          <w:sz w:val="20"/>
          <w:szCs w:val="20"/>
          <w:color w:val="auto"/>
        </w:rPr>
      </w:pPr>
      <w:r>
        <w:rPr>
          <w:rFonts w:ascii="Arial" w:cs="Arial" w:eastAsia="Arial" w:hAnsi="Arial"/>
          <w:sz w:val="18"/>
          <w:szCs w:val="18"/>
          <w:b w:val="1"/>
          <w:bCs w:val="1"/>
          <w:i w:val="1"/>
          <w:iCs w:val="1"/>
          <w:color w:val="auto"/>
        </w:rPr>
        <w:t xml:space="preserve">Alex Nemiroff, J.D., </w:t>
      </w:r>
      <w:r>
        <w:rPr>
          <w:rFonts w:ascii="Arial" w:cs="Arial" w:eastAsia="Arial" w:hAnsi="Arial"/>
          <w:sz w:val="18"/>
          <w:szCs w:val="18"/>
          <w:color w:val="auto"/>
        </w:rPr>
        <w:t>has served as our General Counsel since June 2020. Prior to his role as General Counsel, Mr. Nemiroff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of Legal from January 2020 to June 2020. Mr. Nemiroff was also a co-founder of RogCon, Inc. and RogCon U.R., Inc., and he has served as both entities’ Chief Executive Officer since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inception in November 2015. Mr. Nemiroff has experience working in commercial and securities litigation while at Greenberg Traurig LLP, and served as law clerk to the Honorable Paul C. Huck of the United States District Court for the Southern District of Florida. Mr. Nemiroff received a B.B.A from the University of Michigan’s Ross School of Business, and a J.D. from Northwestern University School of Law.</w:t>
      </w:r>
    </w:p>
    <w:p>
      <w:pPr>
        <w:spacing w:after="0" w:line="70" w:lineRule="exact"/>
        <w:rPr>
          <w:sz w:val="20"/>
          <w:szCs w:val="20"/>
          <w:color w:val="auto"/>
        </w:rPr>
      </w:pPr>
    </w:p>
    <w:p>
      <w:pPr>
        <w:ind w:right="120" w:firstLine="320"/>
        <w:spacing w:after="0" w:line="250" w:lineRule="auto"/>
        <w:rPr>
          <w:sz w:val="20"/>
          <w:szCs w:val="20"/>
          <w:color w:val="auto"/>
        </w:rPr>
      </w:pPr>
      <w:r>
        <w:rPr>
          <w:rFonts w:ascii="Arial" w:cs="Arial" w:eastAsia="Arial" w:hAnsi="Arial"/>
          <w:sz w:val="18"/>
          <w:szCs w:val="18"/>
          <w:b w:val="1"/>
          <w:bCs w:val="1"/>
          <w:i w:val="1"/>
          <w:iCs w:val="1"/>
          <w:color w:val="auto"/>
        </w:rPr>
        <w:t xml:space="preserve">Megan Sniecinski </w:t>
      </w:r>
      <w:r>
        <w:rPr>
          <w:rFonts w:ascii="Arial" w:cs="Arial" w:eastAsia="Arial" w:hAnsi="Arial"/>
          <w:sz w:val="18"/>
          <w:szCs w:val="18"/>
          <w:color w:val="auto"/>
        </w:rPr>
        <w:t>has served as our Chief Operating Officer since January 2026, and previously served as our Chief Business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December 2021 through December 2025. Prior to joining Praxis, she served as Chief Business Officer at BioCryst Pharmaceuticals from July 2019 to August 2021, overseeing corporate development, global medical affairs, program management and global supply chain. From 2017 to 2019, she was senior vice president of business operations and program management at PTC Therapeutics, or PTC, where she established, led and grew the program management function and led business development during the company’s transition toward becoming a fully integrated, commercial stage organization. Before joining PTC, Ms. Sniecinski spent more than a decade at Merck serving in a diverse set of operational and strategic roles supporting their manufacturing operations, commercial and G&amp;A divisions, with increasing responsibility, culminating as director of business development and strategic partnerships at Merck Vaccines. Ms. Sniecinski received a B.S. in chemical engineering from the University of Virginia and an M.B.A. from the Wharton School of the University of Pennsylvania.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14" w:lineRule="exact"/>
        <w:rPr>
          <w:sz w:val="20"/>
          <w:szCs w:val="20"/>
          <w:color w:val="auto"/>
        </w:rPr>
      </w:pPr>
    </w:p>
    <w:p>
      <w:pPr>
        <w:ind w:firstLine="320"/>
        <w:spacing w:after="0" w:line="264" w:lineRule="auto"/>
        <w:rPr>
          <w:sz w:val="20"/>
          <w:szCs w:val="20"/>
          <w:color w:val="auto"/>
        </w:rPr>
      </w:pPr>
      <w:r>
        <w:rPr>
          <w:rFonts w:ascii="Arial" w:cs="Arial" w:eastAsia="Arial" w:hAnsi="Arial"/>
          <w:sz w:val="17"/>
          <w:szCs w:val="17"/>
          <w:b w:val="1"/>
          <w:bCs w:val="1"/>
          <w:i w:val="1"/>
          <w:iCs w:val="1"/>
          <w:color w:val="auto"/>
        </w:rPr>
        <w:t xml:space="preserve">Dean Mitchell </w:t>
      </w:r>
      <w:r>
        <w:rPr>
          <w:rFonts w:ascii="Arial" w:cs="Arial" w:eastAsia="Arial" w:hAnsi="Arial"/>
          <w:sz w:val="17"/>
          <w:szCs w:val="17"/>
          <w:color w:val="auto"/>
        </w:rPr>
        <w:t>has served as chairman of our Board of Directors since September 2020. He served as executive chairman of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Covis Pharma Holdings S.à.r.l., a specialty pharmaceutical company, from August 2013 until its sale in March 2020 and was chairman of PaxVax Corporation, a biotechnology company, from January 2016 until its sale in October 2018. Mr. Mitchell served as President and Chief Executive Officer of Lux Biosciences, Inc., a biotechnology company focusing on the treatment of ophthalmic diseases, from July 2010 to August 2013. Prior to Lux Biosciences, he served as President and Chief Executive Officer of both Alpharma, Inc., a publicly traded specialty pharmaceutical company, from 2006 until its acquisition by King Pharmaceuticals, Inc. in 2008, and Guilford Pharmaceuticals, Inc., a publicly traded pharmaceutical company focused in oncology and acute care, from 2004 until its acquisition by MGI Pharma Inc. in 2005. From 2001 to 2004, he served in various senior executive capacities in the worldwide medicines group of Bristol-Myers Squibb Company. Prior to Bristol-Myers Squibb Company, he spent 14 years at GlaxoSmithKline plc, in assignments of increasing responsibility spanning sales, marketing, general management, commercial strategy and clinical development and product strategy. Mr. Mitchell currently serves on the board of directors of Theravance Biopharma, Inc. (NASDAQ: TBPH). He also serves as chairman of the board of directors of Recode Therapeutics, a private company. Mr. Mitchell previously served on the boards of directors of ImmunoGen Inc., Kinnate Biopharma Inc. and Precigen, Inc. Mr. Mitchell holds an M.B.A. from City University London and a B.Sc. in Biology from Coventry University. We believe Mr. Mitchell is qualified to serve on our Board of Directors because of his management experience in the pharmaceutical and biotherapeutics industries and his experience as a president, chief executive officer and board member of multiple biotechnology companies.</w:t>
      </w:r>
    </w:p>
    <w:p>
      <w:pPr>
        <w:spacing w:after="0" w:line="76" w:lineRule="exact"/>
        <w:rPr>
          <w:sz w:val="20"/>
          <w:szCs w:val="20"/>
          <w:color w:val="auto"/>
        </w:rPr>
      </w:pPr>
    </w:p>
    <w:p>
      <w:pPr>
        <w:ind w:right="20" w:firstLine="320"/>
        <w:spacing w:after="0" w:line="249" w:lineRule="auto"/>
        <w:rPr>
          <w:sz w:val="20"/>
          <w:szCs w:val="20"/>
          <w:color w:val="auto"/>
        </w:rPr>
      </w:pPr>
      <w:r>
        <w:rPr>
          <w:rFonts w:ascii="Arial" w:cs="Arial" w:eastAsia="Arial" w:hAnsi="Arial"/>
          <w:sz w:val="18"/>
          <w:szCs w:val="18"/>
          <w:b w:val="1"/>
          <w:bCs w:val="1"/>
          <w:i w:val="1"/>
          <w:iCs w:val="1"/>
          <w:color w:val="auto"/>
        </w:rPr>
        <w:t>Stuart Arbuckle</w:t>
      </w:r>
      <w:r>
        <w:rPr>
          <w:rFonts w:ascii="Arial" w:cs="Arial" w:eastAsia="Arial" w:hAnsi="Arial"/>
          <w:sz w:val="18"/>
          <w:szCs w:val="18"/>
          <w:color w:val="auto"/>
        </w:rPr>
        <w:t>, has served as a member of our board of directors since January 2026. Mr. Arbuckle previously served as the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Chief Operating Officer of Vertex Pharmaceuticals Incorporated, or Vertex, from August 2021 to July 2025, where he was responsible for the company’s Global Commercial team, Portfolio and Program Management, Human Resources and Corporate Communications. Prior to that role, he served as Executive Vice President and Chief Commercial Officer at Vertex from September 2012 to March 2021. Prior to joining Vertex, Mr. Arbuckle held several commercial leadership positions at Amgen Inc., including leading sales and marketing efforts for Amgen Inc.’s portfolio of cancer medicines and as Vice President and Regional General Manager at Amgen Inc., where he led efforts to expand the company’s presence in Asia, the Middle East, and Africa. Prior to these roles, Mr. Arbuckle spent 15 years at GlaxoSmithKline plc, where he held sales and marketing roles for medicines aimed at treating metabolic, respiratory, musculoskeletal, cardiovascular and other diseases. Mr. Arbuckle currently serves on the boards of directors of Rhythm Pharmaceuticals, Inc. (NASDAQ: RYTM) and Alnylam Pharmaceuticals, Inc. (NASDAQ: ALNY). Mr. Arbuckle previously served as member of the board of directors of ImmunoGen, Inc. Mr. Arbuckle holds a BSc in Pharmacology and Physiology from the University of Leeds in the United Kingdom. We believe Mr. Arbuckle is qualified to serve on our Board of Directors because of his significant leadership experience in the biopharmaceutical industry, including executive roles that drove commercial growth.</w:t>
      </w:r>
    </w:p>
    <w:p>
      <w:pPr>
        <w:spacing w:after="0" w:line="84" w:lineRule="exact"/>
        <w:rPr>
          <w:sz w:val="20"/>
          <w:szCs w:val="20"/>
          <w:color w:val="auto"/>
        </w:rPr>
      </w:pPr>
    </w:p>
    <w:p>
      <w:pPr>
        <w:ind w:right="20" w:firstLine="320"/>
        <w:spacing w:after="0" w:line="256" w:lineRule="auto"/>
        <w:rPr>
          <w:sz w:val="20"/>
          <w:szCs w:val="20"/>
          <w:color w:val="auto"/>
        </w:rPr>
      </w:pPr>
      <w:r>
        <w:rPr>
          <w:rFonts w:ascii="Arial" w:cs="Arial" w:eastAsia="Arial" w:hAnsi="Arial"/>
          <w:sz w:val="18"/>
          <w:szCs w:val="18"/>
          <w:b w:val="1"/>
          <w:bCs w:val="1"/>
          <w:i w:val="1"/>
          <w:iCs w:val="1"/>
          <w:color w:val="auto"/>
        </w:rPr>
        <w:t xml:space="preserve">Jeffrey Chodakewitz, M.D., </w:t>
      </w:r>
      <w:r>
        <w:rPr>
          <w:rFonts w:ascii="Arial" w:cs="Arial" w:eastAsia="Arial" w:hAnsi="Arial"/>
          <w:sz w:val="18"/>
          <w:szCs w:val="18"/>
          <w:color w:val="auto"/>
        </w:rPr>
        <w:t>has served as a member of our Board of Directors since April 2021. Dr. Chodakewitz has served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partner for Ascenta Capital, a life sciences investment firm, since December 2022. He previously served as a senior advisor to Blackstone Life Sciences, a life sciences private equity firm from March 2019 to January 2022. From April 2018 through March 2019, he served as Executive Vice President, Clinical Medicine and External Innovation, at Vertex Pharmaceuticals, Inc., or Vertex. Prior to that role,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Dr. Chodakewitz held the roles of Chief Medical Officer and Executive Vice President, Global Medicines Development and Medical Affairs at Vertex from January 2014 to April 2018 and was a member of the Vertex Executive Committee. Prior to Vertex, Dr. Chodakewitz spent over 20 years at Merck &amp; Co. serving in several positions, including leadership roles as Head of Infectious Diseases and Vaccines Global Development, Senior Vice President of Global Scientific Strategy (infectious disease, respiratory &amp; immunology), Vice President of Early-Stage Development and Senior Vice President of Late-Stage Development. Dr. Chodakewitz currently serves on the boards of directors of Adicet Bio, Inc. (NASDAQ: ACET) and Schrödinger, Inc. (NASDAQ:SDGR). Dr. Chodakewitz previously served on the board of directors of Freeline Therapeutics Holdings plc. Dr. Chodakewitz received a B.S. in Biochemistry cum laude from Yale University and an M.D. from the Yale University School of Medicine. We believe Dr. Chodakewitz is qualified to serve on our Board of Directors because of his extensive business and leadership experience working in the biotechnology industry.</w:t>
      </w:r>
    </w:p>
    <w:p>
      <w:pPr>
        <w:spacing w:after="0" w:line="83" w:lineRule="exact"/>
        <w:rPr>
          <w:sz w:val="20"/>
          <w:szCs w:val="20"/>
          <w:color w:val="auto"/>
        </w:rPr>
      </w:pPr>
    </w:p>
    <w:p>
      <w:pPr>
        <w:ind w:right="80" w:firstLine="320"/>
        <w:spacing w:after="0" w:line="249" w:lineRule="auto"/>
        <w:rPr>
          <w:sz w:val="20"/>
          <w:szCs w:val="20"/>
          <w:color w:val="auto"/>
        </w:rPr>
      </w:pPr>
      <w:r>
        <w:rPr>
          <w:rFonts w:ascii="Arial" w:cs="Arial" w:eastAsia="Arial" w:hAnsi="Arial"/>
          <w:sz w:val="18"/>
          <w:szCs w:val="18"/>
          <w:b w:val="1"/>
          <w:bCs w:val="1"/>
          <w:i w:val="1"/>
          <w:iCs w:val="1"/>
          <w:color w:val="auto"/>
        </w:rPr>
        <w:t xml:space="preserve">Merit Cudkowicz, M.D., </w:t>
      </w:r>
      <w:r>
        <w:rPr>
          <w:rFonts w:ascii="Arial" w:cs="Arial" w:eastAsia="Arial" w:hAnsi="Arial"/>
          <w:sz w:val="18"/>
          <w:szCs w:val="18"/>
          <w:color w:val="auto"/>
        </w:rPr>
        <w:t>has served as a member of our Board of Directors since April 2021. Dr. Cudkowicz has served as the inaugural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Director of the Massachusetts General Brigham Neuroscience Institute since February 2025. She previously served as the Chair of Neurology at Massachusetts General Hospital from 2012 to January 2025. Dr. Cudkowicz is the Director of the Sean M. Healey &amp; AMG Center for ALS and Director and the Julieanne Dorn Professor of Neurology at Harvard Medical School. A member of the National Academy of Medicine, she has led innovations to accelerate the development of treatments for people with neurological disorders such as ALS, including the first platform trial in ALS, and serving in a senior role in the research and development of the first antisense oligonucleotide treatment for a neurological disorder. Dr. Cudkowicz is also the principal investigator of the Clinical Coordination Center for the National Institute of Neurological Disorders and Stroke’s Neurology Network of Excellence in Clinical Trials, or NeuroNEX. Dr. Cudkowicz received a B.S. in Chemical Engineering from Massachusetts Institute of Technology, an M.D. from Harvard Medical School and a MSc. in Clinical Epidemiology from Harvard School of Public Health. We believe Dr. Cudkowicz is qualified to serve on our Board of Directors because of her extensive medical background and experience.</w:t>
      </w:r>
    </w:p>
    <w:p>
      <w:pPr>
        <w:spacing w:after="0" w:line="87" w:lineRule="exact"/>
        <w:rPr>
          <w:sz w:val="20"/>
          <w:szCs w:val="20"/>
          <w:color w:val="auto"/>
        </w:rPr>
      </w:pPr>
    </w:p>
    <w:p>
      <w:pPr>
        <w:ind w:firstLine="320"/>
        <w:spacing w:after="0" w:line="249" w:lineRule="auto"/>
        <w:rPr>
          <w:sz w:val="20"/>
          <w:szCs w:val="20"/>
          <w:color w:val="auto"/>
        </w:rPr>
      </w:pPr>
      <w:r>
        <w:rPr>
          <w:rFonts w:ascii="Arial" w:cs="Arial" w:eastAsia="Arial" w:hAnsi="Arial"/>
          <w:sz w:val="18"/>
          <w:szCs w:val="18"/>
          <w:b w:val="1"/>
          <w:bCs w:val="1"/>
          <w:i w:val="1"/>
          <w:iCs w:val="1"/>
          <w:color w:val="auto"/>
        </w:rPr>
        <w:t xml:space="preserve">Jill DeSimone </w:t>
      </w:r>
      <w:r>
        <w:rPr>
          <w:rFonts w:ascii="Arial" w:cs="Arial" w:eastAsia="Arial" w:hAnsi="Arial"/>
          <w:sz w:val="18"/>
          <w:szCs w:val="18"/>
          <w:color w:val="auto"/>
        </w:rPr>
        <w:t>has served as a member of our Board of Directors since May 2022. Ms. DeSimone served as President of U.S. Oncology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Merck &amp; Co., Inc., or Merck, from 2014 to May 2022. During her time at Merck, Ms. DeSimone also temporarily served as Interim President of U.S. Pharma to help navigate the business through the COVID -19 pandemic. Prior to joining Merck, she served as Senior Vice President of Global Women’s Health at Teva Pharmaceutical Industries Ltd, or Teva, from 2012 to 2014. Prior to her time at Teva, Ms. DeSimone served in several roles of increasing responsibility at Bristol Myers-Squibb from 1980 to 2012, including Senior Vice President of Oncology and Senior Vice President of Commercial Operations. Ms. DeSimone currently serves on the board of directors of Indegene Limited, a digital-first life sciences commercialization company publicly listed in India. Ms. DeSimone previously served on the boards of directors of Kinnate Biopharma, Inc. (acquired by XOMA Corporation in 2024), Oncternal Therapeutics, Inc. (ceased operations following asset sale in 2025), iTeos Therapeutics, Inc. (acquired by Concentra Biosciences in 2025) and Affini-T Therapeutics, Inc. (ceased operations in 2025). Ms. DeSimone also serves as a board member for the Florida Cancer Specialists Foundation and Swim Across America, nonprofit organizations focused on cancer patient support and research. Ms. DeSimone received a B.S. in pharmacy from Northeastern University and completed a fellowship with the Wharton School of the University of Pennsylvania. We believe Ms. DeSimone is qualified to serve on our Board of Directors because of her leadership and extensive business experience in the pharmaceutical industry.</w:t>
      </w:r>
    </w:p>
    <w:p>
      <w:pPr>
        <w:spacing w:after="0" w:line="82" w:lineRule="exact"/>
        <w:rPr>
          <w:sz w:val="20"/>
          <w:szCs w:val="20"/>
          <w:color w:val="auto"/>
        </w:rPr>
      </w:pPr>
    </w:p>
    <w:p>
      <w:pPr>
        <w:ind w:right="40" w:firstLine="320"/>
        <w:spacing w:after="0" w:line="249" w:lineRule="auto"/>
        <w:rPr>
          <w:sz w:val="20"/>
          <w:szCs w:val="20"/>
          <w:color w:val="auto"/>
        </w:rPr>
      </w:pPr>
      <w:r>
        <w:rPr>
          <w:rFonts w:ascii="Arial" w:cs="Arial" w:eastAsia="Arial" w:hAnsi="Arial"/>
          <w:sz w:val="18"/>
          <w:szCs w:val="18"/>
          <w:b w:val="1"/>
          <w:bCs w:val="1"/>
          <w:i w:val="1"/>
          <w:iCs w:val="1"/>
          <w:color w:val="auto"/>
        </w:rPr>
        <w:t>Jeffrey Kindler, J.D.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a member of our board of directors since January 2026. Mr. Kindler has served as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Centrexion Therapeutics Corp., a private biopharmaceutical company, since October 2013, and as Founding Partner and Co-Chair of the Pioneer Collective, a leadership accelerator for healthcare C-suite executives, since January 2024. He previously served as Senior Advisor to Blackstone Group, an investment firm, from June 2020 to September 2025, and as Venture Partner at Artis Ventures, a venture investment firm from January 2020 to February 2024. Mr. Kindler previously served as Chairman and Chief Executive Officer of Pfizer Inc. from 2006 to 2010. He joined Pfizer in 2002 as Executive Vice President and General Counsel and, prior to his appointment as Chief Executive Officer, served as a Vice Chairman responsible for Pfizer’s corporate affairs. Prior to Pfizer, Mr. Kindler served as Executive Vice President and General Counsel at McDonald’s Corporation, President at Partner Brands and Vice President of Litigation and Legal Policy at the General Electric Company. Mr. Kindler is a member of the boards of directors of Perrigo Company plc (NYSE: PRGO), Precigen, Inc. (NASDAQ: PGEN), Terns Pharmaceuticals, Inc. (NASDAQ: TERN) and Lupin Limited, a transnational pharmaceutical company. Mr. Kindler previously served on the boards of directors of vTv Therapeutics Inc., PPD, Inc., and SIGA Technologies, Inc. Mr. Kindler received his undergraduate degree from Tufts University and J.D. from Harvard Law School. We believe Mr. Kindler is qualified to serve on our board of directors because of his extensive leadership experience as both an executive and director within the biopharmaceutical industry.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320"/>
        <w:spacing w:after="0" w:line="251" w:lineRule="auto"/>
        <w:rPr>
          <w:sz w:val="20"/>
          <w:szCs w:val="20"/>
          <w:color w:val="auto"/>
        </w:rPr>
      </w:pPr>
      <w:r>
        <w:rPr>
          <w:rFonts w:ascii="Arial" w:cs="Arial" w:eastAsia="Arial" w:hAnsi="Arial"/>
          <w:sz w:val="18"/>
          <w:szCs w:val="18"/>
          <w:b w:val="1"/>
          <w:bCs w:val="1"/>
          <w:i w:val="1"/>
          <w:iCs w:val="1"/>
          <w:color w:val="auto"/>
        </w:rPr>
        <w:t xml:space="preserve">Gregory Norden </w:t>
      </w:r>
      <w:r>
        <w:rPr>
          <w:rFonts w:ascii="Arial" w:cs="Arial" w:eastAsia="Arial" w:hAnsi="Arial"/>
          <w:sz w:val="18"/>
          <w:szCs w:val="18"/>
          <w:color w:val="auto"/>
        </w:rPr>
        <w:t>has served as a member of our Board of Directors since March 2019. Mr. Norden is the former Chief Financial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Wyeth Pharmaceuticals Inc. and has served as the Managing Director of G9 Capital Group LLC, which invests in early stage ventures and provides corporate advisory services, since 2010. Mr. Norden currently serves on the boards of directors of Zoetis Inc. (NYSE: ZTS) and Royalty Pharma plc (NASDAQ: RPRX). Mr. Norden previously served on the boards of directors of Human Genome Sciences, Inc., Univision, Welch Allyn and NanoString Technologies, Inc. Mr. Norden received a B.S. in Management and Economics from the State University of New York at Plattsburgh and an M.S. in Accounting from LIU Post. We believe Mr. Norden is qualified to serve on our Board of Directors because of his background in finance and experience as a senior executive in the global healthcare and pharmaceutical industries, as well as his public company board experience.</w:t>
      </w:r>
    </w:p>
    <w:p>
      <w:pPr>
        <w:spacing w:after="0" w:line="79" w:lineRule="exact"/>
        <w:rPr>
          <w:sz w:val="20"/>
          <w:szCs w:val="20"/>
          <w:color w:val="auto"/>
        </w:rPr>
      </w:pPr>
    </w:p>
    <w:p>
      <w:pPr>
        <w:ind w:firstLine="320"/>
        <w:spacing w:after="0" w:line="265" w:lineRule="auto"/>
        <w:rPr>
          <w:sz w:val="20"/>
          <w:szCs w:val="20"/>
          <w:color w:val="auto"/>
        </w:rPr>
      </w:pPr>
      <w:r>
        <w:rPr>
          <w:rFonts w:ascii="Arial" w:cs="Arial" w:eastAsia="Arial" w:hAnsi="Arial"/>
          <w:sz w:val="17"/>
          <w:szCs w:val="17"/>
          <w:b w:val="1"/>
          <w:bCs w:val="1"/>
          <w:i w:val="1"/>
          <w:iCs w:val="1"/>
          <w:color w:val="auto"/>
        </w:rPr>
        <w:t xml:space="preserve">William Young </w:t>
      </w:r>
      <w:r>
        <w:rPr>
          <w:rFonts w:ascii="Arial" w:cs="Arial" w:eastAsia="Arial" w:hAnsi="Arial"/>
          <w:sz w:val="17"/>
          <w:szCs w:val="17"/>
          <w:color w:val="auto"/>
        </w:rPr>
        <w:t>has served as a member of our Board of Directors since December 2016. Mr. Young is an Executive Advisor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Blackstone Life Sciences, which he joined in November 2018. Prior to its acquisition by Blackstone, Mr. Young joined Clarus Ventures LLC in March 2010 and held various roles, including Venture Partner, Senior Advisor and portfolio company board member. Prior to joining Clarus, Mr. Young was chairman of the board of directors and Chief Executive Officer of Monogram Biosciences Inc. from 2000 until its acquisition by Laboratory Corporation of America Holdings in 2009. Previously, Mr. Young spent 20 years at Genentech, Inc. in roles of increasing responsibility, culminating as Chief Operating Officer from 1997 to 1999. Mr. Young currently serves as a member of the board of directors of Autolus Therapeutics plc (NASDAQ: AUTL). Mr. Young previously served as the chairman of the board of directors of Annexon, Inc., and as a member of the boards of directors of Vertex Pharmaceuticals Inc., BioMarin Pharmaceutical Inc., Theravance BioPharma, Inc. and NanoString Technologies, Inc. Mr. Young founded the Young Institute for advanced manufacturing of pharmaceuticals at Purdue University and chairs its advisory counsel. Mr. Young was elected to the National Academy of Engineering in 1993 for his contributions to biotechnology. Mr. Young received a B.S. in Chemical Engineering from Purdue University and an M.B.A. from Indiana University in Marketing and Finance and holds an honorary doctorate in Engineering from Purdue University. We believe Mr. Young is qualified to serve on our Board of Directors because of his scientific background, business experience and his service on the board of directors of other life sciences companies.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4"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https://investors.praxismedicines.com/corporate-governance/governance-overview. If we make any substantive amendments to, or grant any waivers from, the code of business conduct and ethics for any officer or director, we will disclose the nature of such amendment or waiver on our website or in a Form 8-K.</w:t>
      </w:r>
    </w:p>
    <w:p>
      <w:pPr>
        <w:spacing w:after="0" w:line="80" w:lineRule="exact"/>
        <w:rPr>
          <w:sz w:val="20"/>
          <w:szCs w:val="20"/>
          <w:color w:val="auto"/>
        </w:rPr>
      </w:pPr>
    </w:p>
    <w:p>
      <w:pPr>
        <w:ind w:right="120" w:firstLine="439"/>
        <w:spacing w:after="0" w:line="276" w:lineRule="auto"/>
        <w:rPr>
          <w:sz w:val="20"/>
          <w:szCs w:val="20"/>
          <w:color w:val="auto"/>
        </w:rPr>
      </w:pPr>
      <w:r>
        <w:rPr>
          <w:rFonts w:ascii="Arial" w:cs="Arial" w:eastAsia="Arial" w:hAnsi="Arial"/>
          <w:sz w:val="18"/>
          <w:szCs w:val="18"/>
          <w:color w:val="auto"/>
        </w:rPr>
        <w:t>The remainder of the information required by this Item 10 will be included in our Definitive Proxy Statement to be filed with the SEC with respect to our 2026 Annual Meeting of Stockholders and is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2026 Annual Meeting of Stockholders and is incorporated herein by reference.</w:t>
      </w:r>
    </w:p>
    <w:p>
      <w:pPr>
        <w:spacing w:after="0" w:line="307" w:lineRule="exact"/>
        <w:rPr>
          <w:sz w:val="20"/>
          <w:szCs w:val="20"/>
          <w:color w:val="auto"/>
        </w:rPr>
      </w:pPr>
    </w:p>
    <w:p>
      <w:pPr>
        <w:ind w:right="2020"/>
        <w:spacing w:after="0" w:line="3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Equity Compensation Plan Information</w:t>
      </w:r>
    </w:p>
    <w:p>
      <w:pPr>
        <w:spacing w:after="0" w:line="1" w:lineRule="exact"/>
        <w:rPr>
          <w:sz w:val="20"/>
          <w:szCs w:val="20"/>
          <w:color w:val="auto"/>
        </w:rPr>
      </w:pPr>
    </w:p>
    <w:p>
      <w:pPr>
        <w:ind w:right="260" w:firstLine="439"/>
        <w:spacing w:after="0" w:line="261" w:lineRule="auto"/>
        <w:rPr>
          <w:sz w:val="20"/>
          <w:szCs w:val="20"/>
          <w:color w:val="auto"/>
        </w:rPr>
      </w:pPr>
      <w:r>
        <w:rPr>
          <w:rFonts w:ascii="Arial" w:cs="Arial" w:eastAsia="Arial" w:hAnsi="Arial"/>
          <w:sz w:val="18"/>
          <w:szCs w:val="18"/>
          <w:color w:val="auto"/>
        </w:rPr>
        <w:t>The following table provides information as of December 31, 2025 regarding shares of common stock that may be issued under our equity compensation plans, consisting of our 2017 Stock Incentive Plan, or the 2017 Plan, our 2020 Stock Option and Incentive Plan, or the 2020 Plan, our 2020 Employee Stock Purchase Plan, or the ESPP, and our 2024 Inducement Plan, or Inducement Plan.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Plan Category</w:t>
      </w:r>
    </w:p>
    <w:p>
      <w:pPr>
        <w:spacing w:after="0" w:line="42" w:lineRule="exact"/>
        <w:rPr>
          <w:sz w:val="20"/>
          <w:szCs w:val="20"/>
          <w:color w:val="auto"/>
        </w:rPr>
      </w:pPr>
    </w:p>
    <w:p>
      <w:pPr>
        <w:ind w:left="80" w:right="260"/>
        <w:spacing w:after="0" w:line="277" w:lineRule="auto"/>
        <w:rPr>
          <w:sz w:val="20"/>
          <w:szCs w:val="20"/>
          <w:color w:val="auto"/>
        </w:rPr>
      </w:pPr>
      <w:r>
        <w:rPr>
          <w:rFonts w:ascii="Arial" w:cs="Arial" w:eastAsia="Arial" w:hAnsi="Arial"/>
          <w:sz w:val="16"/>
          <w:szCs w:val="16"/>
          <w:color w:val="auto"/>
        </w:rPr>
        <w:t>Equity compensation plans approved by security holders(1):</w:t>
      </w:r>
    </w:p>
    <w:p>
      <w:pPr>
        <w:spacing w:after="0" w:line="1" w:lineRule="exact"/>
        <w:rPr>
          <w:sz w:val="20"/>
          <w:szCs w:val="20"/>
          <w:color w:val="auto"/>
        </w:rPr>
      </w:pPr>
    </w:p>
    <w:p>
      <w:pPr>
        <w:ind w:left="80"/>
        <w:spacing w:after="0" w:line="277" w:lineRule="auto"/>
        <w:rPr>
          <w:sz w:val="20"/>
          <w:szCs w:val="20"/>
          <w:color w:val="auto"/>
        </w:rPr>
      </w:pPr>
      <w:r>
        <w:rPr>
          <w:rFonts w:ascii="Arial" w:cs="Arial" w:eastAsia="Arial" w:hAnsi="Arial"/>
          <w:sz w:val="16"/>
          <w:szCs w:val="16"/>
          <w:color w:val="auto"/>
        </w:rPr>
        <w:t>Equity compensation plans not approved by security holders(5):</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 securities remaining</w:t>
            </w:r>
          </w:p>
        </w:tc>
      </w:tr>
      <w:tr>
        <w:trPr>
          <w:trHeight w:val="186"/>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 securities to be issued</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99"/>
              </w:rPr>
              <w:t>available for future issuance</w:t>
            </w:r>
          </w:p>
        </w:tc>
      </w:tr>
      <w:tr>
        <w:trPr>
          <w:trHeight w:val="173"/>
        </w:trPr>
        <w:tc>
          <w:tcPr>
            <w:tcW w:w="2780" w:type="dxa"/>
            <w:vAlign w:val="bottom"/>
            <w:gridSpan w:val="2"/>
          </w:tcPr>
          <w:p>
            <w:pPr>
              <w:jc w:val="center"/>
              <w:ind w:right="120"/>
              <w:spacing w:after="0" w:line="173" w:lineRule="exact"/>
              <w:rPr>
                <w:sz w:val="20"/>
                <w:szCs w:val="20"/>
                <w:color w:val="auto"/>
              </w:rPr>
            </w:pPr>
            <w:r>
              <w:rPr>
                <w:rFonts w:ascii="Arial" w:cs="Arial" w:eastAsia="Arial" w:hAnsi="Arial"/>
                <w:sz w:val="16"/>
                <w:szCs w:val="16"/>
                <w:b w:val="1"/>
                <w:bCs w:val="1"/>
                <w:color w:val="auto"/>
                <w:w w:val="99"/>
              </w:rPr>
              <w:t>upon exercise of outstanding</w:t>
            </w:r>
          </w:p>
        </w:tc>
        <w:tc>
          <w:tcPr>
            <w:tcW w:w="2240" w:type="dxa"/>
            <w:vAlign w:val="bottom"/>
            <w:gridSpan w:val="2"/>
          </w:tcPr>
          <w:p>
            <w:pPr>
              <w:jc w:val="center"/>
              <w:ind w:right="120"/>
              <w:spacing w:after="0" w:line="173" w:lineRule="exact"/>
              <w:rPr>
                <w:sz w:val="20"/>
                <w:szCs w:val="20"/>
                <w:color w:val="auto"/>
              </w:rPr>
            </w:pPr>
            <w:r>
              <w:rPr>
                <w:rFonts w:ascii="Arial" w:cs="Arial" w:eastAsia="Arial" w:hAnsi="Arial"/>
                <w:sz w:val="16"/>
                <w:szCs w:val="16"/>
                <w:b w:val="1"/>
                <w:bCs w:val="1"/>
                <w:color w:val="auto"/>
                <w:w w:val="99"/>
              </w:rPr>
              <w:t>Weighted average exercise</w:t>
            </w:r>
          </w:p>
        </w:tc>
        <w:tc>
          <w:tcPr>
            <w:tcW w:w="266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9"/>
              </w:rPr>
              <w:t>under equity compensation plan</w:t>
            </w:r>
          </w:p>
        </w:tc>
      </w:tr>
      <w:tr>
        <w:trPr>
          <w:trHeight w:val="186"/>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options, restricted stock units,</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price of outstanding</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(excluding securities reflected in</w:t>
            </w:r>
          </w:p>
        </w:tc>
      </w:tr>
      <w:tr>
        <w:trPr>
          <w:trHeight w:val="186"/>
        </w:trPr>
        <w:tc>
          <w:tcPr>
            <w:tcW w:w="2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warrants and rights</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options</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99"/>
              </w:rPr>
              <w:t>column (a))</w:t>
            </w:r>
          </w:p>
        </w:tc>
      </w:tr>
      <w:tr>
        <w:trPr>
          <w:trHeight w:val="219"/>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(b)</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22"/>
        </w:trPr>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r>
        <w:trPr>
          <w:trHeight w:val="416"/>
        </w:trPr>
        <w:tc>
          <w:tcPr>
            <w:tcW w:w="2660" w:type="dxa"/>
            <w:vAlign w:val="bottom"/>
          </w:tcPr>
          <w:p>
            <w:pPr>
              <w:jc w:val="center"/>
              <w:spacing w:after="0"/>
              <w:rPr>
                <w:sz w:val="20"/>
                <w:szCs w:val="20"/>
                <w:color w:val="auto"/>
              </w:rPr>
            </w:pPr>
            <w:r>
              <w:rPr>
                <w:rFonts w:ascii="Arial" w:cs="Arial" w:eastAsia="Arial" w:hAnsi="Arial"/>
                <w:sz w:val="16"/>
                <w:szCs w:val="16"/>
                <w:color w:val="auto"/>
                <w:w w:val="99"/>
              </w:rPr>
              <w:t>2,326,556(2)</w:t>
            </w:r>
          </w:p>
        </w:tc>
        <w:tc>
          <w:tcPr>
            <w:tcW w:w="1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$89.95(3)</w:t>
            </w:r>
          </w:p>
        </w:tc>
        <w:tc>
          <w:tcPr>
            <w:tcW w:w="1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754,538(4)</w:t>
            </w:r>
          </w:p>
        </w:tc>
      </w:tr>
      <w:tr>
        <w:trPr>
          <w:trHeight w:val="428"/>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52,075(6)</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$61.79(7)</w:t>
            </w:r>
          </w:p>
        </w:tc>
        <w:tc>
          <w:tcPr>
            <w:tcW w:w="10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945,280(8)</w:t>
            </w:r>
          </w:p>
        </w:tc>
      </w:tr>
      <w:tr>
        <w:trPr>
          <w:trHeight w:val="205"/>
        </w:trPr>
        <w:tc>
          <w:tcPr>
            <w:tcW w:w="2660" w:type="dxa"/>
            <w:vAlign w:val="bottom"/>
          </w:tcPr>
          <w:p>
            <w:pPr>
              <w:jc w:val="center"/>
              <w:spacing w:after="0"/>
              <w:rPr>
                <w:sz w:val="20"/>
                <w:szCs w:val="20"/>
                <w:color w:val="auto"/>
              </w:rPr>
            </w:pPr>
            <w:r>
              <w:rPr>
                <w:rFonts w:ascii="Arial" w:cs="Arial" w:eastAsia="Arial" w:hAnsi="Arial"/>
                <w:sz w:val="16"/>
                <w:szCs w:val="16"/>
                <w:color w:val="auto"/>
                <w:w w:val="98"/>
              </w:rPr>
              <w:t>2,378,631</w:t>
            </w:r>
          </w:p>
        </w:tc>
        <w:tc>
          <w:tcPr>
            <w:tcW w:w="12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8"/>
              </w:rPr>
              <w:t>$89.80</w:t>
            </w:r>
          </w:p>
        </w:tc>
        <w:tc>
          <w:tcPr>
            <w:tcW w:w="1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8"/>
              </w:rPr>
              <w:t>1,699,818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-141605</wp:posOffset>
            </wp:positionV>
            <wp:extent cx="7058025" cy="143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58025" cy="143510"/>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-690880</wp:posOffset>
            </wp:positionV>
            <wp:extent cx="7058025" cy="278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58025" cy="27876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3180" w:space="320"/>
            <w:col w:w="7740"/>
          </w:cols>
          <w:pgMar w:left="320" w:top="116" w:right="339" w:bottom="1440" w:gutter="0" w:footer="0" w:header="0"/>
        </w:sectPr>
      </w:pPr>
    </w:p>
    <w:p>
      <w:pPr>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320" w:hanging="314"/>
        <w:spacing w:after="0" w:line="228" w:lineRule="auto"/>
        <w:tabs>
          <w:tab w:leader="none" w:pos="3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2020 Plan provides for an annual increase in the number of securities available for future issuance on each January 1 by an amount equal to 5% of the number of shares of common stock outstanding as of the immediately preceding December 31 or such lesser number of shares as determined by the administrator of such plan. The ESPP provides for an annual increase in the number of securities available for future issuance on each January 1 by an amount equal to the lesser of (i) 1% of the number of shares of common stock outstanding as of the immediately preceding December 31, (ii) 327,102 shares of common stock, or (iii) such number of shares of common stock as determined by the administrator of such plan.</w:t>
      </w:r>
    </w:p>
    <w:p>
      <w:pPr>
        <w:spacing w:after="0" w:line="4" w:lineRule="exact"/>
        <w:rPr>
          <w:rFonts w:ascii="Arial" w:cs="Arial" w:eastAsia="Arial" w:hAnsi="Arial"/>
          <w:sz w:val="18"/>
          <w:szCs w:val="18"/>
          <w:color w:val="auto"/>
        </w:rPr>
      </w:pPr>
    </w:p>
    <w:p>
      <w:pPr>
        <w:ind w:left="320" w:right="100" w:hanging="314"/>
        <w:spacing w:after="0" w:line="231" w:lineRule="auto"/>
        <w:tabs>
          <w:tab w:leader="none" w:pos="3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174,314 shares of common stock issuable upon the exercise of outstanding options under the 2017 Plan, 1,692,376 shares of common stock issuable upon the exercise of outstanding options under the 2020 Plan and 459,866 shares subject to restricted stock units outstanding under the 2020 Plan that will entitle the holder to one share of common stock for each unit that vests.</w:t>
      </w:r>
    </w:p>
    <w:p>
      <w:pPr>
        <w:spacing w:after="0" w:line="1" w:lineRule="exact"/>
        <w:rPr>
          <w:rFonts w:ascii="Arial" w:cs="Arial" w:eastAsia="Arial" w:hAnsi="Arial"/>
          <w:sz w:val="18"/>
          <w:szCs w:val="18"/>
          <w:color w:val="auto"/>
        </w:rPr>
      </w:pPr>
    </w:p>
    <w:p>
      <w:pPr>
        <w:ind w:left="320" w:right="140" w:hanging="314"/>
        <w:spacing w:after="0" w:line="245" w:lineRule="auto"/>
        <w:tabs>
          <w:tab w:leader="none" w:pos="31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calculation does not take into account the 459,866 shares of common stock subject to outstanding restricted stock units under the 2020 Plan. Such shares will be issued at the time the restricted stock unit vests, without any cash consideration payable for those shares.</w:t>
      </w:r>
    </w:p>
    <w:p>
      <w:pPr>
        <w:jc w:val="both"/>
        <w:ind w:left="320" w:right="380" w:hanging="314"/>
        <w:spacing w:after="0" w:line="231" w:lineRule="auto"/>
        <w:tabs>
          <w:tab w:leader="none" w:pos="3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December 31, 2025, there were no shares available for grant under the 2017 Plan, 473,358 shares available for grants under the 2020 Stock Option and Incentive Plan and 281,180 shares available for grants under the ESPP (of which 4,955 shares were subject to outstanding purchase rights).</w:t>
      </w:r>
    </w:p>
    <w:p>
      <w:pPr>
        <w:spacing w:after="0" w:line="1" w:lineRule="exact"/>
        <w:rPr>
          <w:rFonts w:ascii="Arial" w:cs="Arial" w:eastAsia="Arial" w:hAnsi="Arial"/>
          <w:sz w:val="18"/>
          <w:szCs w:val="18"/>
          <w:color w:val="auto"/>
        </w:rPr>
      </w:pPr>
    </w:p>
    <w:p>
      <w:pPr>
        <w:ind w:left="320" w:right="240" w:hanging="314"/>
        <w:spacing w:after="0" w:line="227" w:lineRule="auto"/>
        <w:tabs>
          <w:tab w:leader="none" w:pos="3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Inducement Plan was adopted in January 2024. Awards issued under the Inducement Plan may only be made to a newly hired employee who was not previously an employee or non-employee director or to an employee who is being rehired following a bona fide period of non-employment if such award is a material inducement to such employee entering into employment. The material terms of the Inducement Plan are described in Note 10 to the consolidated financial statements included herein.</w:t>
      </w:r>
    </w:p>
    <w:p>
      <w:pPr>
        <w:spacing w:after="0" w:line="2" w:lineRule="exact"/>
        <w:rPr>
          <w:rFonts w:ascii="Arial" w:cs="Arial" w:eastAsia="Arial" w:hAnsi="Arial"/>
          <w:sz w:val="18"/>
          <w:szCs w:val="18"/>
          <w:color w:val="auto"/>
        </w:rPr>
      </w:pPr>
    </w:p>
    <w:p>
      <w:pPr>
        <w:ind w:left="320" w:right="60" w:hanging="314"/>
        <w:spacing w:after="0" w:line="231" w:lineRule="auto"/>
        <w:tabs>
          <w:tab w:leader="none" w:pos="3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10,088 shares of common stock issuable upon the exercise of outstanding options under the Inducement Plan and 41,987 shares subject to restricted stock units outstanding under the Inducement Plan that will entitle the holder to one share of common stock for each unit that vests.</w:t>
      </w:r>
    </w:p>
    <w:p>
      <w:pPr>
        <w:spacing w:after="0" w:line="1" w:lineRule="exact"/>
        <w:rPr>
          <w:rFonts w:ascii="Arial" w:cs="Arial" w:eastAsia="Arial" w:hAnsi="Arial"/>
          <w:sz w:val="18"/>
          <w:szCs w:val="18"/>
          <w:color w:val="auto"/>
        </w:rPr>
      </w:pPr>
    </w:p>
    <w:p>
      <w:pPr>
        <w:ind w:left="320" w:right="240" w:hanging="314"/>
        <w:spacing w:after="0" w:line="231" w:lineRule="auto"/>
        <w:tabs>
          <w:tab w:leader="none" w:pos="3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calculation does not take into account the 41,987 shares of common stock subject to outstanding restricted stock units under the Inducement Plan. Such shares will be issued at the time the restricted stock unit vests, without any cash consideration payable for those shares.</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December 31, 2024, there were 945,280 shares available for grant under the Inducement Plan.</w:t>
      </w:r>
    </w:p>
    <w:p>
      <w:pPr>
        <w:spacing w:after="0" w:line="96" w:lineRule="exact"/>
        <w:rPr>
          <w:sz w:val="20"/>
          <w:szCs w:val="20"/>
          <w:color w:val="auto"/>
        </w:rPr>
      </w:pPr>
    </w:p>
    <w:p>
      <w:pPr>
        <w:ind w:right="180" w:firstLine="439"/>
        <w:spacing w:after="0" w:line="276" w:lineRule="auto"/>
        <w:rPr>
          <w:sz w:val="20"/>
          <w:szCs w:val="20"/>
          <w:color w:val="auto"/>
        </w:rPr>
      </w:pPr>
      <w:r>
        <w:rPr>
          <w:rFonts w:ascii="Arial" w:cs="Arial" w:eastAsia="Arial" w:hAnsi="Arial"/>
          <w:sz w:val="18"/>
          <w:szCs w:val="18"/>
          <w:color w:val="auto"/>
        </w:rPr>
        <w:t>The remainder of the information required by this Item 12 will be included in our Definitive Proxy Statement to be filed with the SEC with respect to our 2026 Annual Meeting of Stockholders and is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2026 Annual Meeting of Stockholders and is incorporated herein by reference.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2026 Annual Meeting of Stockholders and is incorporated herein by reference.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(a)(1) Financial Statements.</w:t>
      </w:r>
    </w:p>
    <w:p>
      <w:pPr>
        <w:spacing w:after="0" w:line="112" w:lineRule="exact"/>
        <w:rPr>
          <w:sz w:val="20"/>
          <w:szCs w:val="20"/>
          <w:color w:val="auto"/>
        </w:rPr>
      </w:pPr>
    </w:p>
    <w:p>
      <w:pPr>
        <w:ind w:right="440" w:firstLine="439"/>
        <w:spacing w:after="0" w:line="276" w:lineRule="auto"/>
        <w:rPr>
          <w:sz w:val="20"/>
          <w:szCs w:val="20"/>
          <w:color w:val="auto"/>
        </w:rPr>
      </w:pPr>
      <w:r>
        <w:rPr>
          <w:rFonts w:ascii="Arial" w:cs="Arial" w:eastAsia="Arial" w:hAnsi="Arial"/>
          <w:sz w:val="18"/>
          <w:szCs w:val="18"/>
          <w:color w:val="auto"/>
        </w:rPr>
        <w:t xml:space="preserve">For a list of the financial statements included herein, see Index to the Consolidated Financial Statements on page </w:t>
      </w:r>
      <w:r>
        <w:rPr>
          <w:rFonts w:ascii="Arial" w:cs="Arial" w:eastAsia="Arial" w:hAnsi="Arial"/>
          <w:sz w:val="18"/>
          <w:szCs w:val="18"/>
          <w:u w:val="single" w:color="auto"/>
          <w:color w:val="0000FF"/>
        </w:rPr>
        <w:t>102</w:t>
      </w:r>
      <w:r>
        <w:rPr>
          <w:rFonts w:ascii="Arial" w:cs="Arial" w:eastAsia="Arial" w:hAnsi="Arial"/>
          <w:sz w:val="18"/>
          <w:szCs w:val="18"/>
          <w:color w:val="auto"/>
        </w:rPr>
        <w:t xml:space="preserve"> of this Annual Report on Form 10-K, incorporated into this Item by reference.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(a)(2) Financial Statement Schedules.</w:t>
      </w:r>
    </w:p>
    <w:p>
      <w:pPr>
        <w:spacing w:after="0" w:line="112" w:lineRule="exact"/>
        <w:rPr>
          <w:sz w:val="20"/>
          <w:szCs w:val="20"/>
          <w:color w:val="auto"/>
        </w:rPr>
      </w:pPr>
    </w:p>
    <w:p>
      <w:pPr>
        <w:ind w:right="140" w:firstLine="439"/>
        <w:spacing w:after="0" w:line="276" w:lineRule="auto"/>
        <w:rPr>
          <w:sz w:val="20"/>
          <w:szCs w:val="20"/>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(a)(3) List of Exhibits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3.1</w:t>
        </w:r>
      </w:hyperlink>
    </w:p>
    <w:p>
      <w:pPr>
        <w:spacing w:after="0" w:line="379" w:lineRule="exact"/>
        <w:rPr>
          <w:sz w:val="20"/>
          <w:szCs w:val="20"/>
          <w:color w:val="auto"/>
        </w:rPr>
      </w:pPr>
    </w:p>
    <w:p>
      <w:pPr>
        <w:ind w:left="20"/>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3.2</w:t>
        </w:r>
      </w:hyperlink>
    </w:p>
    <w:p>
      <w:pPr>
        <w:spacing w:after="0" w:line="206" w:lineRule="exact"/>
        <w:rPr>
          <w:sz w:val="20"/>
          <w:szCs w:val="20"/>
          <w:color w:val="auto"/>
        </w:rPr>
      </w:pPr>
    </w:p>
    <w:p>
      <w:pPr>
        <w:ind w:left="20"/>
        <w:spacing w:after="0"/>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3.3</w:t>
        </w:r>
      </w:hyperlink>
    </w:p>
    <w:p>
      <w:pPr>
        <w:spacing w:after="0" w:line="206" w:lineRule="exact"/>
        <w:rPr>
          <w:sz w:val="20"/>
          <w:szCs w:val="20"/>
          <w:color w:val="auto"/>
        </w:rPr>
      </w:pPr>
    </w:p>
    <w:p>
      <w:pPr>
        <w:ind w:left="20"/>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4.1</w:t>
        </w:r>
      </w:hyperlink>
    </w:p>
    <w:p>
      <w:pPr>
        <w:spacing w:after="0" w:line="379" w:lineRule="exact"/>
        <w:rPr>
          <w:sz w:val="20"/>
          <w:szCs w:val="20"/>
          <w:color w:val="auto"/>
        </w:rPr>
      </w:pPr>
    </w:p>
    <w:p>
      <w:pPr>
        <w:ind w:left="20"/>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4.2</w:t>
        </w:r>
      </w:hyperlink>
    </w:p>
    <w:p>
      <w:pPr>
        <w:spacing w:after="0" w:line="206" w:lineRule="exact"/>
        <w:rPr>
          <w:sz w:val="20"/>
          <w:szCs w:val="20"/>
          <w:color w:val="auto"/>
        </w:rPr>
      </w:pPr>
    </w:p>
    <w:p>
      <w:pPr>
        <w:ind w:left="2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4.3</w:t>
        </w:r>
      </w:hyperlink>
    </w:p>
    <w:p>
      <w:pPr>
        <w:spacing w:after="0" w:line="206" w:lineRule="exact"/>
        <w:rPr>
          <w:sz w:val="20"/>
          <w:szCs w:val="20"/>
          <w:color w:val="auto"/>
        </w:rPr>
      </w:pPr>
    </w:p>
    <w:p>
      <w:pPr>
        <w:ind w:left="20"/>
        <w:spacing w:after="0"/>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4.4</w:t>
        </w:r>
      </w:hyperlink>
    </w:p>
    <w:p>
      <w:pPr>
        <w:spacing w:after="0" w:line="206" w:lineRule="exact"/>
        <w:rPr>
          <w:sz w:val="20"/>
          <w:szCs w:val="20"/>
          <w:color w:val="auto"/>
        </w:rPr>
      </w:pPr>
    </w:p>
    <w:p>
      <w:pPr>
        <w:ind w:left="20"/>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4.5</w:t>
        </w:r>
      </w:hyperlink>
    </w:p>
    <w:p>
      <w:pPr>
        <w:spacing w:after="0" w:line="206" w:lineRule="exact"/>
        <w:rPr>
          <w:sz w:val="20"/>
          <w:szCs w:val="20"/>
          <w:color w:val="auto"/>
        </w:rPr>
      </w:pPr>
    </w:p>
    <w:p>
      <w:pPr>
        <w:ind w:left="2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4.6</w:t>
        </w:r>
      </w:hyperlink>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1500"/>
        <w:spacing w:after="0" w:line="230" w:lineRule="auto"/>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Amended and Restated Certificate of Incorporation of Praxis Precision Medicines, Inc. (incorporated by</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reference to Exhibit 3.1 to the Registrant's Current Report on Form 8-K (File No. 001-39620) filed on October</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20, 2020)</w:t>
        </w:r>
      </w:hyperlink>
    </w:p>
    <w:p>
      <w:pPr>
        <w:spacing w:after="0" w:line="10" w:lineRule="exact"/>
        <w:rPr>
          <w:sz w:val="20"/>
          <w:szCs w:val="20"/>
          <w:color w:val="auto"/>
        </w:rPr>
      </w:pPr>
    </w:p>
    <w:p>
      <w:pPr>
        <w:ind w:right="2160"/>
        <w:spacing w:after="0" w:line="226" w:lineRule="auto"/>
        <w:rPr>
          <w:rFonts w:ascii="Arial" w:cs="Arial" w:eastAsia="Arial" w:hAnsi="Arial"/>
          <w:sz w:val="17"/>
          <w:szCs w:val="17"/>
          <w:u w:val="single" w:color="auto"/>
          <w:color w:val="0000FF"/>
        </w:rPr>
      </w:pPr>
      <w:hyperlink r:id="rId177">
        <w:r>
          <w:rPr>
            <w:rFonts w:ascii="Arial" w:cs="Arial" w:eastAsia="Arial" w:hAnsi="Arial"/>
            <w:sz w:val="17"/>
            <w:szCs w:val="17"/>
            <w:u w:val="single" w:color="auto"/>
            <w:color w:val="0000FF"/>
          </w:rPr>
          <w:t>Certificate of Amendment to the Amended and Restated Certificate of Incorporation (incorporated by</w:t>
        </w:r>
      </w:hyperlink>
      <w:r>
        <w:rPr>
          <w:rFonts w:ascii="Arial" w:cs="Arial" w:eastAsia="Arial" w:hAnsi="Arial"/>
          <w:sz w:val="17"/>
          <w:szCs w:val="17"/>
          <w:u w:val="single" w:color="auto"/>
          <w:color w:val="0000FF"/>
        </w:rPr>
        <w:t xml:space="preserve"> </w:t>
      </w:r>
      <w:hyperlink r:id="rId177">
        <w:r>
          <w:rPr>
            <w:rFonts w:ascii="Arial" w:cs="Arial" w:eastAsia="Arial" w:hAnsi="Arial"/>
            <w:sz w:val="17"/>
            <w:szCs w:val="17"/>
            <w:u w:val="single" w:color="auto"/>
            <w:color w:val="0000FF"/>
          </w:rPr>
          <w:t>reference to Exhibit 3.1 to the Registrant’s Current Report on Form 8-K (File No. 001-39620) filed on</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December 1, 2023)</w:t>
        </w:r>
      </w:hyperlink>
    </w:p>
    <w:p>
      <w:pPr>
        <w:spacing w:after="0" w:line="10" w:lineRule="exact"/>
        <w:rPr>
          <w:sz w:val="20"/>
          <w:szCs w:val="20"/>
          <w:color w:val="auto"/>
        </w:rPr>
      </w:pPr>
    </w:p>
    <w:p>
      <w:pPr>
        <w:ind w:right="1600"/>
        <w:spacing w:after="0" w:line="231"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Amended and Restated Bylaws of Praxis Precision Medicines, Inc. (incorporated by reference to Exhibit 3.1</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to the Registrant's Current Report on Form 8-K (File No. 001-39620) filed on January 7, 2022)</w:t>
        </w:r>
      </w:hyperlink>
    </w:p>
    <w:p>
      <w:pPr>
        <w:spacing w:after="0" w:line="8" w:lineRule="exact"/>
        <w:rPr>
          <w:sz w:val="20"/>
          <w:szCs w:val="20"/>
          <w:color w:val="auto"/>
        </w:rPr>
      </w:pPr>
    </w:p>
    <w:p>
      <w:pPr>
        <w:ind w:right="1480"/>
        <w:spacing w:after="0" w:line="253" w:lineRule="auto"/>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Specimen Stock Certificate Evidencing the Shares of Common Stock (incorporated by reference to Exhibit</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4.1 to the Registrant's Registration Statement on Form S-1/A (File No. 333-249074) filed on October 9, 2020)</w:t>
        </w:r>
      </w:hyperlink>
    </w:p>
    <w:p>
      <w:pPr>
        <w:spacing w:after="0" w:line="1" w:lineRule="exact"/>
        <w:rPr>
          <w:sz w:val="20"/>
          <w:szCs w:val="20"/>
          <w:color w:val="auto"/>
        </w:rPr>
      </w:pPr>
    </w:p>
    <w:p>
      <w:pPr>
        <w:ind w:right="1460"/>
        <w:spacing w:after="0" w:line="230" w:lineRule="auto"/>
        <w:rPr>
          <w:rFonts w:ascii="Arial" w:cs="Arial" w:eastAsia="Arial" w:hAnsi="Arial"/>
          <w:sz w:val="17"/>
          <w:szCs w:val="17"/>
          <w:u w:val="single" w:color="auto"/>
          <w:color w:val="0000FF"/>
        </w:rPr>
      </w:pPr>
      <w:hyperlink r:id="rId180">
        <w:r>
          <w:rPr>
            <w:rFonts w:ascii="Arial" w:cs="Arial" w:eastAsia="Arial" w:hAnsi="Arial"/>
            <w:sz w:val="17"/>
            <w:szCs w:val="17"/>
            <w:u w:val="single" w:color="auto"/>
            <w:color w:val="0000FF"/>
          </w:rPr>
          <w:t>Fourth Amended and Restated Investors’ Rights Agreement among Praxis Precision Medicines, Inc. and</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certain of its stockholders, effective as of July 24, 2020, as amended (incorporated by reference to Exhibit 4.2</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to the Registrant's Registration Statement on Form S-3 (File No. 333-260726) filed on November 3, 2021)</w:t>
        </w:r>
      </w:hyperlink>
    </w:p>
    <w:p>
      <w:pPr>
        <w:spacing w:after="0" w:line="10" w:lineRule="exact"/>
        <w:rPr>
          <w:sz w:val="20"/>
          <w:szCs w:val="20"/>
          <w:color w:val="auto"/>
        </w:rPr>
      </w:pPr>
    </w:p>
    <w:p>
      <w:pPr>
        <w:ind w:right="1660"/>
        <w:spacing w:after="0" w:line="231"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Description of Securities of Praxis Precision Medicines, Inc. (incorporated by reference to Exhibit 4.3 to the</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Registrant's Annual Report on Form 10-K (File No. 001-39620) filed on February 28, 2022)</w:t>
        </w:r>
      </w:hyperlink>
    </w:p>
    <w:p>
      <w:pPr>
        <w:spacing w:after="0" w:line="8" w:lineRule="exact"/>
        <w:rPr>
          <w:sz w:val="20"/>
          <w:szCs w:val="20"/>
          <w:color w:val="auto"/>
        </w:rPr>
      </w:pPr>
    </w:p>
    <w:p>
      <w:pPr>
        <w:ind w:right="1680"/>
        <w:spacing w:after="0" w:line="235"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Form of Pre-funded Warrant (incorporated by reference to Exhibit 4.1 to the Registrant's Current Report on</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Form 8-K (File No. 001-39620) filed on January 12, 2024)</w:t>
        </w:r>
      </w:hyperlink>
    </w:p>
    <w:p>
      <w:pPr>
        <w:spacing w:after="0" w:line="7" w:lineRule="exact"/>
        <w:rPr>
          <w:sz w:val="20"/>
          <w:szCs w:val="20"/>
          <w:color w:val="auto"/>
        </w:rPr>
      </w:pPr>
    </w:p>
    <w:p>
      <w:pPr>
        <w:ind w:right="1680"/>
        <w:spacing w:after="0" w:line="235"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Form of Pre-funded Warrant (incorporated by reference to Exhibit 4.1 to the Registrant's Current Report on</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Form 8-K (File No. 001-39620) filed on March 29, 2024)</w:t>
        </w:r>
      </w:hyperlink>
    </w:p>
    <w:p>
      <w:pPr>
        <w:spacing w:after="0" w:line="7" w:lineRule="exact"/>
        <w:rPr>
          <w:sz w:val="20"/>
          <w:szCs w:val="20"/>
          <w:color w:val="auto"/>
        </w:rPr>
      </w:pPr>
    </w:p>
    <w:p>
      <w:pPr>
        <w:ind w:right="1680"/>
        <w:spacing w:after="0" w:line="235" w:lineRule="auto"/>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Form of Pre-funded Warrant (incorporated by reference to Exhibit 4.1 to the Registrant's Current Report on</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Form 8-K (File No. 001-39620) filed on October 20, 2025)</w:t>
        </w:r>
      </w:hyperlink>
    </w:p>
    <w:p>
      <w:pPr>
        <w:spacing w:after="0" w:line="1" w:lineRule="exact"/>
        <w:rPr>
          <w:sz w:val="20"/>
          <w:szCs w:val="20"/>
          <w:color w:val="auto"/>
        </w:rPr>
      </w:pPr>
    </w:p>
    <w:p>
      <w:pPr>
        <w:sectPr>
          <w:pgSz w:w="11900" w:h="16838" w:orient="portrait"/>
          <w:cols w:equalWidth="0" w:num="2">
            <w:col w:w="480" w:space="720"/>
            <w:col w:w="100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20" w:type="dxa"/>
            <w:vAlign w:val="bottom"/>
            <w:vMerge w:val="restart"/>
          </w:tcPr>
          <w:p>
            <w:pPr>
              <w:spacing w:after="0"/>
              <w:rPr>
                <w:sz w:val="17"/>
                <w:szCs w:val="17"/>
                <w:color w:val="auto"/>
              </w:rPr>
            </w:pPr>
          </w:p>
        </w:tc>
        <w:tc>
          <w:tcPr>
            <w:tcW w:w="340" w:type="dxa"/>
            <w:vAlign w:val="bottom"/>
            <w:vMerge w:val="restart"/>
          </w:tcPr>
          <w:p>
            <w:pPr>
              <w:spacing w:after="0"/>
              <w:rPr>
                <w:rFonts w:ascii="Arial" w:cs="Arial" w:eastAsia="Arial" w:hAnsi="Arial"/>
                <w:sz w:val="18"/>
                <w:szCs w:val="18"/>
                <w:color w:val="0000FF"/>
                <w:w w:val="91"/>
              </w:rPr>
            </w:pPr>
            <w:hyperlink r:id="rId18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17"/>
          </w:tcPr>
          <w:p>
            <w:pPr>
              <w:spacing w:after="0" w:line="197" w:lineRule="exact"/>
              <w:rPr>
                <w:rFonts w:ascii="Arial" w:cs="Arial" w:eastAsia="Arial" w:hAnsi="Arial"/>
                <w:sz w:val="18"/>
                <w:szCs w:val="18"/>
                <w:color w:val="0000FF"/>
              </w:rPr>
            </w:pPr>
            <w:hyperlink r:id="rId185">
              <w:r>
                <w:rPr>
                  <w:rFonts w:ascii="Arial" w:cs="Arial" w:eastAsia="Arial" w:hAnsi="Arial"/>
                  <w:sz w:val="18"/>
                  <w:szCs w:val="18"/>
                  <w:color w:val="0000FF"/>
                </w:rPr>
                <w:t>Form of Director Indemnification Agreement, as amended (incorporated by reference to Exhibit 10.1 to the</w:t>
              </w:r>
            </w:hyperlink>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34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780" w:type="dxa"/>
            <w:vAlign w:val="bottom"/>
            <w:tcBorders>
              <w:top w:val="single" w:sz="8" w:color="0000FF"/>
              <w:bottom w:val="single" w:sz="8" w:color="0000FF"/>
            </w:tcBorders>
            <w:gridSpan w:val="7"/>
          </w:tcPr>
          <w:p>
            <w:pPr>
              <w:spacing w:after="0" w:line="140" w:lineRule="exact"/>
              <w:rPr>
                <w:rFonts w:ascii="Arial" w:cs="Arial" w:eastAsia="Arial" w:hAnsi="Arial"/>
                <w:sz w:val="16"/>
                <w:szCs w:val="16"/>
                <w:color w:val="0000FF"/>
              </w:rPr>
            </w:pPr>
            <w:hyperlink r:id="rId185">
              <w:r>
                <w:rPr>
                  <w:rFonts w:ascii="Arial" w:cs="Arial" w:eastAsia="Arial" w:hAnsi="Arial"/>
                  <w:sz w:val="16"/>
                  <w:szCs w:val="16"/>
                  <w:color w:val="0000FF"/>
                </w:rPr>
                <w:t>Registrant's Registration Statement on Form S-1/A (File No. 333-249074) filed on October 9, 2020)</w:t>
              </w:r>
            </w:hyperlink>
          </w:p>
        </w:tc>
        <w:tc>
          <w:tcPr>
            <w:tcW w:w="540" w:type="dxa"/>
            <w:vAlign w:val="bottom"/>
            <w:tcBorders>
              <w:top w:val="single" w:sz="8" w:color="0000FF"/>
            </w:tcBorders>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0" w:type="dxa"/>
            <w:vAlign w:val="bottom"/>
            <w:gridSpan w:val="2"/>
            <w:vMerge w:val="restart"/>
          </w:tcPr>
          <w:p>
            <w:pPr>
              <w:ind w:left="20"/>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17"/>
          </w:tcPr>
          <w:p>
            <w:pPr>
              <w:spacing w:after="0" w:line="200" w:lineRule="exact"/>
              <w:rPr>
                <w:rFonts w:ascii="Arial" w:cs="Arial" w:eastAsia="Arial" w:hAnsi="Arial"/>
                <w:sz w:val="18"/>
                <w:szCs w:val="18"/>
                <w:color w:val="0000FF"/>
              </w:rPr>
            </w:pPr>
            <w:hyperlink r:id="rId186">
              <w:r>
                <w:rPr>
                  <w:rFonts w:ascii="Arial" w:cs="Arial" w:eastAsia="Arial" w:hAnsi="Arial"/>
                  <w:sz w:val="18"/>
                  <w:szCs w:val="18"/>
                  <w:color w:val="0000FF"/>
                </w:rPr>
                <w:t>Form of Officer Indemnification Agreement (incorporated by reference to Exhibit 10.2 to the Registrant's</w:t>
              </w:r>
            </w:hyperlink>
          </w:p>
        </w:tc>
        <w:tc>
          <w:tcPr>
            <w:tcW w:w="0" w:type="dxa"/>
            <w:vAlign w:val="bottom"/>
          </w:tcPr>
          <w:p>
            <w:pPr>
              <w:spacing w:after="0"/>
              <w:rPr>
                <w:sz w:val="1"/>
                <w:szCs w:val="1"/>
                <w:color w:val="auto"/>
              </w:rPr>
            </w:pPr>
          </w:p>
        </w:tc>
      </w:tr>
      <w:tr>
        <w:trPr>
          <w:trHeight w:val="153"/>
        </w:trPr>
        <w:tc>
          <w:tcPr>
            <w:tcW w:w="3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140" w:type="dxa"/>
            <w:vAlign w:val="bottom"/>
            <w:tcBorders>
              <w:top w:val="single" w:sz="8" w:color="0000FF"/>
            </w:tcBorders>
            <w:gridSpan w:val="10"/>
          </w:tcPr>
          <w:p>
            <w:pPr>
              <w:spacing w:after="0" w:line="140" w:lineRule="exact"/>
              <w:rPr>
                <w:rFonts w:ascii="Arial" w:cs="Arial" w:eastAsia="Arial" w:hAnsi="Arial"/>
                <w:sz w:val="16"/>
                <w:szCs w:val="16"/>
                <w:color w:val="0000FF"/>
              </w:rPr>
            </w:pPr>
            <w:hyperlink r:id="rId186">
              <w:r>
                <w:rPr>
                  <w:rFonts w:ascii="Arial" w:cs="Arial" w:eastAsia="Arial" w:hAnsi="Arial"/>
                  <w:sz w:val="16"/>
                  <w:szCs w:val="16"/>
                  <w:color w:val="0000FF"/>
                </w:rPr>
                <w:t>Registration Statement on Form S-1 (File No. 333-249074) filed on September 25, 2020)</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17"/>
          </w:tcPr>
          <w:p>
            <w:pPr>
              <w:spacing w:after="0" w:line="200" w:lineRule="exact"/>
              <w:rPr>
                <w:rFonts w:ascii="Arial" w:cs="Arial" w:eastAsia="Arial" w:hAnsi="Arial"/>
                <w:sz w:val="18"/>
                <w:szCs w:val="18"/>
                <w:color w:val="0000FF"/>
              </w:rPr>
            </w:pPr>
            <w:hyperlink r:id="rId187">
              <w:r>
                <w:rPr>
                  <w:rFonts w:ascii="Arial" w:cs="Arial" w:eastAsia="Arial" w:hAnsi="Arial"/>
                  <w:sz w:val="18"/>
                  <w:szCs w:val="18"/>
                  <w:color w:val="0000FF"/>
                </w:rPr>
                <w:t>Praxis Precision Medicines, Inc. 2017 Stock Incentive Plan, as amended, and form of award agreements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1180" w:type="dxa"/>
            <w:vAlign w:val="bottom"/>
            <w:gridSpan w:val="3"/>
            <w:vMerge w:val="restart"/>
          </w:tcPr>
          <w:p>
            <w:pPr>
              <w:spacing w:after="0"/>
              <w:rPr>
                <w:rFonts w:ascii="Arial" w:cs="Arial" w:eastAsia="Arial" w:hAnsi="Arial"/>
                <w:sz w:val="18"/>
                <w:szCs w:val="18"/>
                <w:color w:val="0000FF"/>
              </w:rPr>
            </w:pPr>
            <w:hyperlink r:id="rId18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40" w:type="dxa"/>
            <w:vAlign w:val="bottom"/>
            <w:gridSpan w:val="17"/>
          </w:tcPr>
          <w:p>
            <w:pPr>
              <w:spacing w:after="0" w:line="153" w:lineRule="exact"/>
              <w:rPr>
                <w:rFonts w:ascii="Arial" w:cs="Arial" w:eastAsia="Arial" w:hAnsi="Arial"/>
                <w:sz w:val="17"/>
                <w:szCs w:val="17"/>
                <w:color w:val="0000FF"/>
              </w:rPr>
            </w:pPr>
            <w:hyperlink r:id="rId187">
              <w:r>
                <w:rPr>
                  <w:rFonts w:ascii="Arial" w:cs="Arial" w:eastAsia="Arial" w:hAnsi="Arial"/>
                  <w:sz w:val="17"/>
                  <w:szCs w:val="17"/>
                  <w:color w:val="0000FF"/>
                </w:rPr>
                <w:t>thereunder (incorporated by reference to Exhibit 10.3 to the Registrant's Annual Report on Form 10-K (File</w:t>
              </w:r>
            </w:hyperlink>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360" w:type="dxa"/>
            <w:vAlign w:val="bottom"/>
            <w:tcBorders>
              <w:top w:val="single" w:sz="8" w:color="0000FF"/>
            </w:tcBorders>
            <w:gridSpan w:val="14"/>
          </w:tcPr>
          <w:p>
            <w:pPr>
              <w:spacing w:after="0" w:line="166" w:lineRule="exact"/>
              <w:rPr>
                <w:rFonts w:ascii="Arial" w:cs="Arial" w:eastAsia="Arial" w:hAnsi="Arial"/>
                <w:sz w:val="18"/>
                <w:szCs w:val="18"/>
                <w:color w:val="0000FF"/>
              </w:rPr>
            </w:pPr>
            <w:hyperlink r:id="rId187">
              <w:r>
                <w:rPr>
                  <w:rFonts w:ascii="Arial" w:cs="Arial" w:eastAsia="Arial" w:hAnsi="Arial"/>
                  <w:sz w:val="18"/>
                  <w:szCs w:val="18"/>
                  <w:color w:val="0000FF"/>
                </w:rPr>
                <w:t>No. 001-39620) filed on March 17, 2021)</w:t>
              </w:r>
            </w:hyperlink>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17"/>
          </w:tcPr>
          <w:p>
            <w:pPr>
              <w:spacing w:after="0"/>
              <w:rPr>
                <w:rFonts w:ascii="Arial" w:cs="Arial" w:eastAsia="Arial" w:hAnsi="Arial"/>
                <w:sz w:val="18"/>
                <w:szCs w:val="18"/>
                <w:color w:val="0000FF"/>
              </w:rPr>
            </w:pPr>
            <w:hyperlink r:id="rId188">
              <w:r>
                <w:rPr>
                  <w:rFonts w:ascii="Arial" w:cs="Arial" w:eastAsia="Arial" w:hAnsi="Arial"/>
                  <w:sz w:val="18"/>
                  <w:szCs w:val="18"/>
                  <w:color w:val="0000FF"/>
                </w:rPr>
                <w:t>Praxis Precision Medicines, Inc. 2020 Stock Option and Incentive Plan, as amended and restated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1180" w:type="dxa"/>
            <w:vAlign w:val="bottom"/>
            <w:gridSpan w:val="3"/>
            <w:vMerge w:val="restart"/>
          </w:tcPr>
          <w:p>
            <w:pPr>
              <w:spacing w:after="0"/>
              <w:rPr>
                <w:rFonts w:ascii="Arial" w:cs="Arial" w:eastAsia="Arial" w:hAnsi="Arial"/>
                <w:sz w:val="18"/>
                <w:szCs w:val="18"/>
                <w:color w:val="0000FF"/>
              </w:rPr>
            </w:pPr>
            <w:hyperlink r:id="rId18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40" w:type="dxa"/>
            <w:vAlign w:val="bottom"/>
            <w:gridSpan w:val="17"/>
          </w:tcPr>
          <w:p>
            <w:pPr>
              <w:spacing w:after="0" w:line="153" w:lineRule="exact"/>
              <w:rPr>
                <w:rFonts w:ascii="Arial" w:cs="Arial" w:eastAsia="Arial" w:hAnsi="Arial"/>
                <w:sz w:val="17"/>
                <w:szCs w:val="17"/>
                <w:color w:val="0000FF"/>
              </w:rPr>
            </w:pPr>
            <w:hyperlink r:id="rId188">
              <w:r>
                <w:rPr>
                  <w:rFonts w:ascii="Arial" w:cs="Arial" w:eastAsia="Arial" w:hAnsi="Arial"/>
                  <w:sz w:val="17"/>
                  <w:szCs w:val="17"/>
                  <w:color w:val="0000FF"/>
                </w:rPr>
                <w:t>(incorporated by reference to Exhibit 10.1 to the Registrant's Current Report on Form 8-K (File No. 001-</w:t>
              </w:r>
            </w:hyperlink>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120" w:type="dxa"/>
            <w:vAlign w:val="bottom"/>
            <w:tcBorders>
              <w:top w:val="single" w:sz="8" w:color="0000FF"/>
            </w:tcBorders>
            <w:gridSpan w:val="9"/>
          </w:tcPr>
          <w:p>
            <w:pPr>
              <w:spacing w:after="0" w:line="166" w:lineRule="exact"/>
              <w:rPr>
                <w:rFonts w:ascii="Arial" w:cs="Arial" w:eastAsia="Arial" w:hAnsi="Arial"/>
                <w:sz w:val="18"/>
                <w:szCs w:val="18"/>
                <w:color w:val="0000FF"/>
              </w:rPr>
            </w:pPr>
            <w:hyperlink r:id="rId188">
              <w:r>
                <w:rPr>
                  <w:rFonts w:ascii="Arial" w:cs="Arial" w:eastAsia="Arial" w:hAnsi="Arial"/>
                  <w:sz w:val="18"/>
                  <w:szCs w:val="18"/>
                  <w:color w:val="0000FF"/>
                </w:rPr>
                <w:t>39620) filed on June 6, 2024)</w:t>
              </w:r>
            </w:hyperlink>
          </w:p>
        </w:tc>
        <w:tc>
          <w:tcPr>
            <w:tcW w:w="140" w:type="dxa"/>
            <w:vAlign w:val="bottom"/>
            <w:gridSpan w:val="3"/>
          </w:tcPr>
          <w:p>
            <w:pPr>
              <w:spacing w:after="0"/>
              <w:rPr>
                <w:sz w:val="14"/>
                <w:szCs w:val="14"/>
                <w:color w:val="auto"/>
              </w:rPr>
            </w:pPr>
          </w:p>
        </w:tc>
        <w:tc>
          <w:tcPr>
            <w:tcW w:w="12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17"/>
          </w:tcPr>
          <w:p>
            <w:pPr>
              <w:spacing w:after="0" w:line="193" w:lineRule="exact"/>
              <w:rPr>
                <w:rFonts w:ascii="Arial" w:cs="Arial" w:eastAsia="Arial" w:hAnsi="Arial"/>
                <w:sz w:val="18"/>
                <w:szCs w:val="18"/>
                <w:color w:val="0000FF"/>
              </w:rPr>
            </w:pPr>
            <w:hyperlink r:id="rId189">
              <w:r>
                <w:rPr>
                  <w:rFonts w:ascii="Arial" w:cs="Arial" w:eastAsia="Arial" w:hAnsi="Arial"/>
                  <w:sz w:val="18"/>
                  <w:szCs w:val="18"/>
                  <w:color w:val="0000FF"/>
                </w:rPr>
                <w:t>Form of Incentive Stock Option Agreement under the 2020 Stock Option and Incentive Plan, as amended</w:t>
              </w:r>
            </w:hyperlink>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180" w:type="dxa"/>
            <w:vAlign w:val="bottom"/>
            <w:gridSpan w:val="3"/>
            <w:vMerge w:val="restart"/>
          </w:tcPr>
          <w:p>
            <w:pPr>
              <w:spacing w:after="0"/>
              <w:rPr>
                <w:rFonts w:ascii="Arial" w:cs="Arial" w:eastAsia="Arial" w:hAnsi="Arial"/>
                <w:sz w:val="18"/>
                <w:szCs w:val="18"/>
                <w:color w:val="0000FF"/>
              </w:rPr>
            </w:pPr>
            <w:hyperlink r:id="rId18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8260" w:type="dxa"/>
            <w:vAlign w:val="bottom"/>
            <w:tcBorders>
              <w:top w:val="single" w:sz="8" w:color="0000FF"/>
            </w:tcBorders>
            <w:gridSpan w:val="12"/>
          </w:tcPr>
          <w:p>
            <w:pPr>
              <w:spacing w:after="0" w:line="160" w:lineRule="exact"/>
              <w:rPr>
                <w:rFonts w:ascii="Arial" w:cs="Arial" w:eastAsia="Arial" w:hAnsi="Arial"/>
                <w:sz w:val="18"/>
                <w:szCs w:val="18"/>
                <w:color w:val="0000FF"/>
                <w:w w:val="97"/>
              </w:rPr>
            </w:pPr>
            <w:hyperlink r:id="rId189">
              <w:r>
                <w:rPr>
                  <w:rFonts w:ascii="Arial" w:cs="Arial" w:eastAsia="Arial" w:hAnsi="Arial"/>
                  <w:sz w:val="18"/>
                  <w:szCs w:val="18"/>
                  <w:color w:val="0000FF"/>
                  <w:w w:val="97"/>
                </w:rPr>
                <w:t>and restated (incorporated by reference to Exhibit 10.5 to the Registrant's Registration Statement on Form</w:t>
              </w:r>
            </w:hyperlink>
          </w:p>
        </w:tc>
        <w:tc>
          <w:tcPr>
            <w:tcW w:w="120" w:type="dxa"/>
            <w:vAlign w:val="bottom"/>
            <w:gridSpan w:val="3"/>
          </w:tcPr>
          <w:p>
            <w:pPr>
              <w:spacing w:after="0"/>
              <w:rPr>
                <w:sz w:val="13"/>
                <w:szCs w:val="13"/>
                <w:color w:val="auto"/>
              </w:rPr>
            </w:pPr>
          </w:p>
        </w:tc>
        <w:tc>
          <w:tcPr>
            <w:tcW w:w="1660" w:type="dxa"/>
            <w:vAlign w:val="bottom"/>
            <w:gridSpan w:val="2"/>
          </w:tcPr>
          <w:p>
            <w:pPr>
              <w:spacing w:after="0" w:line="160" w:lineRule="exact"/>
              <w:rPr>
                <w:rFonts w:ascii="Arial" w:cs="Arial" w:eastAsia="Arial" w:hAnsi="Arial"/>
                <w:sz w:val="18"/>
                <w:szCs w:val="18"/>
                <w:color w:val="0000FF"/>
              </w:rPr>
            </w:pPr>
            <w:hyperlink r:id="rId189">
              <w:r>
                <w:rPr>
                  <w:rFonts w:ascii="Arial" w:cs="Arial" w:eastAsia="Arial" w:hAnsi="Arial"/>
                  <w:sz w:val="18"/>
                  <w:szCs w:val="18"/>
                  <w:color w:val="0000FF"/>
                </w:rPr>
                <w:t>S-</w:t>
              </w:r>
            </w:hyperlink>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560" w:type="dxa"/>
            <w:vAlign w:val="bottom"/>
            <w:tcBorders>
              <w:top w:val="single" w:sz="8" w:color="0000FF"/>
            </w:tcBorders>
            <w:gridSpan w:val="16"/>
          </w:tcPr>
          <w:p>
            <w:pPr>
              <w:spacing w:after="0" w:line="166" w:lineRule="exact"/>
              <w:rPr>
                <w:rFonts w:ascii="Arial" w:cs="Arial" w:eastAsia="Arial" w:hAnsi="Arial"/>
                <w:sz w:val="18"/>
                <w:szCs w:val="18"/>
                <w:color w:val="0000FF"/>
              </w:rPr>
            </w:pPr>
            <w:hyperlink r:id="rId189">
              <w:r>
                <w:rPr>
                  <w:rFonts w:ascii="Arial" w:cs="Arial" w:eastAsia="Arial" w:hAnsi="Arial"/>
                  <w:sz w:val="18"/>
                  <w:szCs w:val="18"/>
                  <w:color w:val="0000FF"/>
                </w:rPr>
                <w:t>1/A (File No. 333-249074) filed on October 9, 2020)</w:t>
              </w:r>
            </w:hyperlink>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17"/>
          </w:tcPr>
          <w:p>
            <w:pPr>
              <w:spacing w:after="0"/>
              <w:rPr>
                <w:rFonts w:ascii="Arial" w:cs="Arial" w:eastAsia="Arial" w:hAnsi="Arial"/>
                <w:sz w:val="18"/>
                <w:szCs w:val="18"/>
                <w:color w:val="0000FF"/>
              </w:rPr>
            </w:pPr>
            <w:hyperlink r:id="rId190">
              <w:r>
                <w:rPr>
                  <w:rFonts w:ascii="Arial" w:cs="Arial" w:eastAsia="Arial" w:hAnsi="Arial"/>
                  <w:sz w:val="18"/>
                  <w:szCs w:val="18"/>
                  <w:color w:val="0000FF"/>
                </w:rPr>
                <w:t>Form of Non-Qualified Stock Option Agreement for Company Employees under the 2020 Stock Option and</w:t>
              </w:r>
            </w:hyperlink>
          </w:p>
        </w:tc>
        <w:tc>
          <w:tcPr>
            <w:tcW w:w="0" w:type="dxa"/>
            <w:vAlign w:val="bottom"/>
          </w:tcPr>
          <w:p>
            <w:pPr>
              <w:spacing w:after="0"/>
              <w:rPr>
                <w:sz w:val="1"/>
                <w:szCs w:val="1"/>
                <w:color w:val="auto"/>
              </w:rPr>
            </w:pPr>
          </w:p>
        </w:tc>
      </w:tr>
      <w:tr>
        <w:trPr>
          <w:trHeight w:val="153"/>
        </w:trPr>
        <w:tc>
          <w:tcPr>
            <w:tcW w:w="1200" w:type="dxa"/>
            <w:vAlign w:val="bottom"/>
            <w:gridSpan w:val="4"/>
            <w:vMerge w:val="restart"/>
          </w:tcPr>
          <w:p>
            <w:pPr>
              <w:ind w:left="20"/>
              <w:spacing w:after="0"/>
              <w:rPr>
                <w:rFonts w:ascii="Arial" w:cs="Arial" w:eastAsia="Arial" w:hAnsi="Arial"/>
                <w:sz w:val="18"/>
                <w:szCs w:val="18"/>
                <w:color w:val="0000FF"/>
              </w:rPr>
            </w:pPr>
            <w:hyperlink r:id="rId190">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8380" w:type="dxa"/>
            <w:vAlign w:val="bottom"/>
            <w:tcBorders>
              <w:top w:val="single" w:sz="8" w:color="0000FF"/>
            </w:tcBorders>
            <w:gridSpan w:val="15"/>
          </w:tcPr>
          <w:p>
            <w:pPr>
              <w:spacing w:after="0" w:line="153" w:lineRule="exact"/>
              <w:rPr>
                <w:rFonts w:ascii="Arial" w:cs="Arial" w:eastAsia="Arial" w:hAnsi="Arial"/>
                <w:sz w:val="17"/>
                <w:szCs w:val="17"/>
                <w:color w:val="0000FF"/>
              </w:rPr>
            </w:pPr>
            <w:hyperlink r:id="rId190">
              <w:r>
                <w:rPr>
                  <w:rFonts w:ascii="Arial" w:cs="Arial" w:eastAsia="Arial" w:hAnsi="Arial"/>
                  <w:sz w:val="17"/>
                  <w:szCs w:val="17"/>
                  <w:color w:val="0000FF"/>
                </w:rPr>
                <w:t>Incentive Plan, as amended and restated (incorporated by reference to Exhibit 10.6 to the Registrant's</w:t>
              </w:r>
            </w:hyperlink>
          </w:p>
        </w:tc>
        <w:tc>
          <w:tcPr>
            <w:tcW w:w="16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200" w:type="dxa"/>
            <w:vAlign w:val="bottom"/>
            <w:gridSpan w:val="4"/>
            <w:vMerge w:val="continue"/>
          </w:tcPr>
          <w:p>
            <w:pPr>
              <w:spacing w:after="0"/>
              <w:rPr>
                <w:sz w:val="14"/>
                <w:szCs w:val="14"/>
                <w:color w:val="auto"/>
              </w:rPr>
            </w:pPr>
          </w:p>
        </w:tc>
        <w:tc>
          <w:tcPr>
            <w:tcW w:w="8020" w:type="dxa"/>
            <w:vAlign w:val="bottom"/>
            <w:tcBorders>
              <w:top w:val="single" w:sz="8" w:color="0000FF"/>
            </w:tcBorders>
            <w:gridSpan w:val="8"/>
          </w:tcPr>
          <w:p>
            <w:pPr>
              <w:spacing w:after="0" w:line="166" w:lineRule="exact"/>
              <w:rPr>
                <w:rFonts w:ascii="Arial" w:cs="Arial" w:eastAsia="Arial" w:hAnsi="Arial"/>
                <w:sz w:val="18"/>
                <w:szCs w:val="18"/>
                <w:color w:val="0000FF"/>
              </w:rPr>
            </w:pPr>
            <w:hyperlink r:id="rId190">
              <w:r>
                <w:rPr>
                  <w:rFonts w:ascii="Arial" w:cs="Arial" w:eastAsia="Arial" w:hAnsi="Arial"/>
                  <w:sz w:val="18"/>
                  <w:szCs w:val="18"/>
                  <w:color w:val="0000FF"/>
                </w:rPr>
                <w:t>Registration Statement on Form S-1/A (File No. 333-249074) filed on October 9, 2020)</w:t>
              </w:r>
            </w:hyperlink>
          </w:p>
        </w:tc>
        <w:tc>
          <w:tcPr>
            <w:tcW w:w="20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875"/>
        </w:trPr>
        <w:tc>
          <w:tcPr>
            <w:tcW w:w="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6800" w:type="dxa"/>
            <w:vAlign w:val="bottom"/>
            <w:tcBorders>
              <w:top w:val="single" w:sz="8" w:color="0000FF"/>
            </w:tcBorders>
            <w:gridSpan w:val="4"/>
          </w:tcPr>
          <w:p>
            <w:pPr>
              <w:ind w:left="428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49"/>
          </w:tcPr>
          <w:p>
            <w:pPr>
              <w:spacing w:after="0"/>
              <w:rPr>
                <w:rFonts w:ascii="Arial" w:cs="Arial" w:eastAsia="Arial" w:hAnsi="Arial"/>
                <w:sz w:val="18"/>
                <w:szCs w:val="18"/>
                <w:color w:val="0000FF"/>
              </w:rPr>
            </w:pPr>
            <w:hyperlink r:id="rId193">
              <w:r>
                <w:rPr>
                  <w:rFonts w:ascii="Arial" w:cs="Arial" w:eastAsia="Arial" w:hAnsi="Arial"/>
                  <w:sz w:val="18"/>
                  <w:szCs w:val="18"/>
                  <w:color w:val="0000FF"/>
                </w:rPr>
                <w:t>Form of Non-Qualified Stock Option Agreement for Non-Employee Directors under the 2020 Stock Option</w:t>
              </w:r>
            </w:hyperlink>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40" w:type="dxa"/>
            <w:vAlign w:val="bottom"/>
            <w:gridSpan w:val="3"/>
            <w:vMerge w:val="restart"/>
          </w:tcPr>
          <w:p>
            <w:pPr>
              <w:spacing w:after="0"/>
              <w:rPr>
                <w:rFonts w:ascii="Arial" w:cs="Arial" w:eastAsia="Arial" w:hAnsi="Arial"/>
                <w:sz w:val="18"/>
                <w:szCs w:val="18"/>
                <w:color w:val="0000FF"/>
              </w:rPr>
            </w:pPr>
            <w:hyperlink r:id="rId193">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31"/>
          </w:tcPr>
          <w:p>
            <w:pPr>
              <w:spacing w:after="0" w:line="153" w:lineRule="exact"/>
              <w:rPr>
                <w:rFonts w:ascii="Arial" w:cs="Arial" w:eastAsia="Arial" w:hAnsi="Arial"/>
                <w:sz w:val="17"/>
                <w:szCs w:val="17"/>
                <w:color w:val="0000FF"/>
              </w:rPr>
            </w:pPr>
            <w:hyperlink r:id="rId193">
              <w:r>
                <w:rPr>
                  <w:rFonts w:ascii="Arial" w:cs="Arial" w:eastAsia="Arial" w:hAnsi="Arial"/>
                  <w:sz w:val="17"/>
                  <w:szCs w:val="17"/>
                  <w:color w:val="0000FF"/>
                </w:rPr>
                <w:t>and Incentive Plan, as amended and restated (incorporated by reference to Exhibit 10.7 to the Registrant's</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20" w:type="dxa"/>
            <w:vAlign w:val="bottom"/>
            <w:gridSpan w:val="37"/>
          </w:tcPr>
          <w:p>
            <w:pPr>
              <w:spacing w:after="0" w:line="166" w:lineRule="exact"/>
              <w:rPr>
                <w:rFonts w:ascii="Arial" w:cs="Arial" w:eastAsia="Arial" w:hAnsi="Arial"/>
                <w:sz w:val="18"/>
                <w:szCs w:val="18"/>
                <w:color w:val="0000FF"/>
              </w:rPr>
            </w:pPr>
            <w:hyperlink r:id="rId193">
              <w:r>
                <w:rPr>
                  <w:rFonts w:ascii="Arial" w:cs="Arial" w:eastAsia="Arial" w:hAnsi="Arial"/>
                  <w:sz w:val="18"/>
                  <w:szCs w:val="18"/>
                  <w:color w:val="0000FF"/>
                </w:rPr>
                <w:t>Registration Statement on Form S-1/A (File No. 333-249074) filed on October 9,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49"/>
          </w:tcPr>
          <w:p>
            <w:pPr>
              <w:spacing w:after="0" w:line="193" w:lineRule="exact"/>
              <w:rPr>
                <w:rFonts w:ascii="Arial" w:cs="Arial" w:eastAsia="Arial" w:hAnsi="Arial"/>
                <w:sz w:val="18"/>
                <w:szCs w:val="18"/>
                <w:color w:val="0000FF"/>
              </w:rPr>
            </w:pPr>
            <w:hyperlink r:id="rId194">
              <w:r>
                <w:rPr>
                  <w:rFonts w:ascii="Arial" w:cs="Arial" w:eastAsia="Arial" w:hAnsi="Arial"/>
                  <w:sz w:val="18"/>
                  <w:szCs w:val="18"/>
                  <w:color w:val="0000FF"/>
                </w:rPr>
                <w:t>Form of Restricted Stock Award Agreement under the 2020 Stock Option and Incentive Plan, as amended</w:t>
              </w:r>
            </w:hyperlink>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40" w:type="dxa"/>
            <w:vAlign w:val="bottom"/>
            <w:gridSpan w:val="3"/>
            <w:vMerge w:val="restart"/>
          </w:tcPr>
          <w:p>
            <w:pPr>
              <w:spacing w:after="0"/>
              <w:rPr>
                <w:rFonts w:ascii="Arial" w:cs="Arial" w:eastAsia="Arial" w:hAnsi="Arial"/>
                <w:sz w:val="18"/>
                <w:szCs w:val="18"/>
                <w:color w:val="0000FF"/>
              </w:rPr>
            </w:pPr>
            <w:hyperlink r:id="rId194">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340" w:type="dxa"/>
            <w:vAlign w:val="bottom"/>
            <w:tcBorders>
              <w:top w:val="single" w:sz="8" w:color="0000FF"/>
            </w:tcBorders>
            <w:gridSpan w:val="33"/>
          </w:tcPr>
          <w:p>
            <w:pPr>
              <w:spacing w:after="0" w:line="160" w:lineRule="exact"/>
              <w:rPr>
                <w:rFonts w:ascii="Arial" w:cs="Arial" w:eastAsia="Arial" w:hAnsi="Arial"/>
                <w:sz w:val="18"/>
                <w:szCs w:val="18"/>
                <w:color w:val="0000FF"/>
                <w:w w:val="98"/>
              </w:rPr>
            </w:pPr>
            <w:hyperlink r:id="rId194">
              <w:r>
                <w:rPr>
                  <w:rFonts w:ascii="Arial" w:cs="Arial" w:eastAsia="Arial" w:hAnsi="Arial"/>
                  <w:sz w:val="18"/>
                  <w:szCs w:val="18"/>
                  <w:color w:val="0000FF"/>
                  <w:w w:val="98"/>
                </w:rPr>
                <w:t>and restated (incorporated by reference to Exhibit 10.8 to the Registrant's Registration Statement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10"/>
          </w:tcPr>
          <w:p>
            <w:pPr>
              <w:jc w:val="right"/>
              <w:ind w:right="1480"/>
              <w:spacing w:after="0"/>
              <w:rPr>
                <w:rFonts w:ascii="Arial" w:cs="Arial" w:eastAsia="Arial" w:hAnsi="Arial"/>
                <w:sz w:val="11"/>
                <w:szCs w:val="11"/>
                <w:color w:val="0000FF"/>
                <w:w w:val="72"/>
              </w:rPr>
            </w:pPr>
            <w:hyperlink r:id="rId194">
              <w:r>
                <w:rPr>
                  <w:rFonts w:ascii="Arial" w:cs="Arial" w:eastAsia="Arial" w:hAnsi="Arial"/>
                  <w:sz w:val="11"/>
                  <w:szCs w:val="11"/>
                  <w:color w:val="0000FF"/>
                  <w:w w:val="72"/>
                </w:rPr>
                <w:t>S-</w:t>
              </w:r>
            </w:hyperlink>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20" w:type="dxa"/>
            <w:vAlign w:val="bottom"/>
            <w:tcBorders>
              <w:top w:val="single" w:sz="8" w:color="0000FF"/>
            </w:tcBorders>
            <w:gridSpan w:val="47"/>
          </w:tcPr>
          <w:p>
            <w:pPr>
              <w:spacing w:after="0" w:line="166" w:lineRule="exact"/>
              <w:rPr>
                <w:rFonts w:ascii="Arial" w:cs="Arial" w:eastAsia="Arial" w:hAnsi="Arial"/>
                <w:sz w:val="18"/>
                <w:szCs w:val="18"/>
                <w:color w:val="0000FF"/>
              </w:rPr>
            </w:pPr>
            <w:hyperlink r:id="rId194">
              <w:r>
                <w:rPr>
                  <w:rFonts w:ascii="Arial" w:cs="Arial" w:eastAsia="Arial" w:hAnsi="Arial"/>
                  <w:sz w:val="18"/>
                  <w:szCs w:val="18"/>
                  <w:color w:val="0000FF"/>
                </w:rPr>
                <w:t>1/A (File No. 333-249074) filed on October 9, 2020)</w:t>
              </w:r>
            </w:hyperlink>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49"/>
          </w:tcPr>
          <w:p>
            <w:pPr>
              <w:spacing w:after="0"/>
              <w:rPr>
                <w:rFonts w:ascii="Arial" w:cs="Arial" w:eastAsia="Arial" w:hAnsi="Arial"/>
                <w:sz w:val="18"/>
                <w:szCs w:val="18"/>
                <w:color w:val="0000FF"/>
              </w:rPr>
            </w:pPr>
            <w:hyperlink r:id="rId195">
              <w:r>
                <w:rPr>
                  <w:rFonts w:ascii="Arial" w:cs="Arial" w:eastAsia="Arial" w:hAnsi="Arial"/>
                  <w:sz w:val="18"/>
                  <w:szCs w:val="18"/>
                  <w:color w:val="0000FF"/>
                </w:rPr>
                <w:t>Form of Restricted Stock Unit Award Agreement for Company Employees under the 2020 Stock Option and</w:t>
              </w:r>
            </w:hyperlink>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40" w:type="dxa"/>
            <w:vAlign w:val="bottom"/>
            <w:gridSpan w:val="3"/>
            <w:vMerge w:val="restart"/>
          </w:tcPr>
          <w:p>
            <w:pPr>
              <w:spacing w:after="0"/>
              <w:rPr>
                <w:rFonts w:ascii="Arial" w:cs="Arial" w:eastAsia="Arial" w:hAnsi="Arial"/>
                <w:sz w:val="18"/>
                <w:szCs w:val="18"/>
                <w:color w:val="0000FF"/>
              </w:rPr>
            </w:pPr>
            <w:hyperlink r:id="rId195">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500" w:type="dxa"/>
            <w:vAlign w:val="bottom"/>
            <w:tcBorders>
              <w:top w:val="single" w:sz="8" w:color="0000FF"/>
            </w:tcBorders>
            <w:gridSpan w:val="41"/>
          </w:tcPr>
          <w:p>
            <w:pPr>
              <w:spacing w:after="0" w:line="153" w:lineRule="exact"/>
              <w:rPr>
                <w:rFonts w:ascii="Arial" w:cs="Arial" w:eastAsia="Arial" w:hAnsi="Arial"/>
                <w:sz w:val="17"/>
                <w:szCs w:val="17"/>
                <w:color w:val="0000FF"/>
              </w:rPr>
            </w:pPr>
            <w:hyperlink r:id="rId195">
              <w:r>
                <w:rPr>
                  <w:rFonts w:ascii="Arial" w:cs="Arial" w:eastAsia="Arial" w:hAnsi="Arial"/>
                  <w:sz w:val="17"/>
                  <w:szCs w:val="17"/>
                  <w:color w:val="0000FF"/>
                </w:rPr>
                <w:t>Incentive Plan, as amended and restated (incorporated by reference to Exhibit 10.9 to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20" w:type="dxa"/>
            <w:vAlign w:val="bottom"/>
            <w:tcBorders>
              <w:top w:val="single" w:sz="8" w:color="0000FF"/>
            </w:tcBorders>
            <w:gridSpan w:val="23"/>
          </w:tcPr>
          <w:p>
            <w:pPr>
              <w:spacing w:after="0" w:line="166" w:lineRule="exact"/>
              <w:rPr>
                <w:rFonts w:ascii="Arial" w:cs="Arial" w:eastAsia="Arial" w:hAnsi="Arial"/>
                <w:sz w:val="18"/>
                <w:szCs w:val="18"/>
                <w:color w:val="0000FF"/>
              </w:rPr>
            </w:pPr>
            <w:hyperlink r:id="rId195">
              <w:r>
                <w:rPr>
                  <w:rFonts w:ascii="Arial" w:cs="Arial" w:eastAsia="Arial" w:hAnsi="Arial"/>
                  <w:sz w:val="18"/>
                  <w:szCs w:val="18"/>
                  <w:color w:val="0000FF"/>
                </w:rPr>
                <w:t>Registration Statement on Form S-1/A (File No. 333-249074) filed on October 9, 2020)</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40" w:type="dxa"/>
            <w:vAlign w:val="bottom"/>
            <w:gridSpan w:val="49"/>
          </w:tcPr>
          <w:p>
            <w:pPr>
              <w:spacing w:after="0" w:line="187" w:lineRule="exact"/>
              <w:rPr>
                <w:rFonts w:ascii="Arial" w:cs="Arial" w:eastAsia="Arial" w:hAnsi="Arial"/>
                <w:sz w:val="18"/>
                <w:szCs w:val="18"/>
                <w:color w:val="0000FF"/>
              </w:rPr>
            </w:pPr>
            <w:hyperlink r:id="rId196">
              <w:r>
                <w:rPr>
                  <w:rFonts w:ascii="Arial" w:cs="Arial" w:eastAsia="Arial" w:hAnsi="Arial"/>
                  <w:sz w:val="18"/>
                  <w:szCs w:val="18"/>
                  <w:color w:val="0000FF"/>
                </w:rPr>
                <w:t>Form of Restricted Stock Unit Award Agreement for Non-Employee Directors under the 2020 Stock Option</w:t>
              </w:r>
            </w:hyperlink>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20" w:type="dxa"/>
            <w:vAlign w:val="bottom"/>
            <w:gridSpan w:val="4"/>
            <w:vMerge w:val="restart"/>
          </w:tcPr>
          <w:p>
            <w:pPr>
              <w:spacing w:after="0"/>
              <w:rPr>
                <w:rFonts w:ascii="Arial" w:cs="Arial" w:eastAsia="Arial" w:hAnsi="Arial"/>
                <w:sz w:val="18"/>
                <w:szCs w:val="18"/>
                <w:color w:val="0000FF"/>
              </w:rPr>
            </w:pPr>
            <w:hyperlink r:id="rId196">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56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34"/>
          </w:tcPr>
          <w:p>
            <w:pPr>
              <w:spacing w:after="0" w:line="153" w:lineRule="exact"/>
              <w:rPr>
                <w:rFonts w:ascii="Arial" w:cs="Arial" w:eastAsia="Arial" w:hAnsi="Arial"/>
                <w:sz w:val="17"/>
                <w:szCs w:val="17"/>
                <w:color w:val="0000FF"/>
              </w:rPr>
            </w:pPr>
            <w:hyperlink r:id="rId196">
              <w:r>
                <w:rPr>
                  <w:rFonts w:ascii="Arial" w:cs="Arial" w:eastAsia="Arial" w:hAnsi="Arial"/>
                  <w:sz w:val="17"/>
                  <w:szCs w:val="17"/>
                  <w:color w:val="0000FF"/>
                </w:rPr>
                <w:t>and Incentive Plan, as amended and restated (incorporated by reference to Exhibit 10.10 to the Registrant's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8520" w:type="dxa"/>
            <w:vAlign w:val="bottom"/>
            <w:gridSpan w:val="42"/>
          </w:tcPr>
          <w:p>
            <w:pPr>
              <w:spacing w:after="0" w:line="166" w:lineRule="exact"/>
              <w:rPr>
                <w:rFonts w:ascii="Arial" w:cs="Arial" w:eastAsia="Arial" w:hAnsi="Arial"/>
                <w:sz w:val="18"/>
                <w:szCs w:val="18"/>
                <w:color w:val="0000FF"/>
              </w:rPr>
            </w:pPr>
            <w:hyperlink r:id="rId196">
              <w:r>
                <w:rPr>
                  <w:rFonts w:ascii="Arial" w:cs="Arial" w:eastAsia="Arial" w:hAnsi="Arial"/>
                  <w:sz w:val="18"/>
                  <w:szCs w:val="18"/>
                  <w:color w:val="0000FF"/>
                </w:rPr>
                <w:t>Registration Statement on Form S-1/A (File No. 333-249074) filed on October 9,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620" w:type="dxa"/>
            <w:vAlign w:val="bottom"/>
            <w:gridSpan w:val="4"/>
            <w:vMerge w:val="restart"/>
          </w:tcPr>
          <w:p>
            <w:pPr>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11#*</w:t>
            </w:r>
          </w:p>
        </w:tc>
        <w:tc>
          <w:tcPr>
            <w:tcW w:w="560" w:type="dxa"/>
            <w:vAlign w:val="bottom"/>
          </w:tcPr>
          <w:p>
            <w:pPr>
              <w:spacing w:after="0"/>
              <w:rPr>
                <w:sz w:val="17"/>
                <w:szCs w:val="17"/>
                <w:color w:val="auto"/>
              </w:rPr>
            </w:pPr>
          </w:p>
        </w:tc>
        <w:tc>
          <w:tcPr>
            <w:tcW w:w="10040" w:type="dxa"/>
            <w:vAlign w:val="bottom"/>
            <w:gridSpan w:val="49"/>
          </w:tcPr>
          <w:p>
            <w:pPr>
              <w:spacing w:after="0"/>
              <w:rPr>
                <w:sz w:val="20"/>
                <w:szCs w:val="20"/>
                <w:color w:val="auto"/>
              </w:rPr>
            </w:pPr>
            <w:r>
              <w:rPr>
                <w:rFonts w:ascii="Arial" w:cs="Arial" w:eastAsia="Arial" w:hAnsi="Arial"/>
                <w:sz w:val="18"/>
                <w:szCs w:val="18"/>
                <w:color w:val="0000FF"/>
              </w:rPr>
              <w:t>Form of Performance-Based Restricted Stock Unit Award Agreement for employees under the 2020 Stock</w:t>
            </w: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620" w:type="dxa"/>
            <w:vAlign w:val="bottom"/>
            <w:tcBorders>
              <w:bottom w:val="single" w:sz="8" w:color="0000FF"/>
            </w:tcBorders>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7"/>
          </w:tcPr>
          <w:p>
            <w:pPr>
              <w:spacing w:after="0" w:line="140" w:lineRule="exact"/>
              <w:rPr>
                <w:sz w:val="20"/>
                <w:szCs w:val="20"/>
                <w:color w:val="auto"/>
              </w:rPr>
            </w:pPr>
            <w:r>
              <w:rPr>
                <w:rFonts w:ascii="Arial" w:cs="Arial" w:eastAsia="Arial" w:hAnsi="Arial"/>
                <w:sz w:val="16"/>
                <w:szCs w:val="16"/>
                <w:color w:val="0000FF"/>
              </w:rPr>
              <w:t>Option and Incentive Plan, as amended and restated</w:t>
            </w:r>
          </w:p>
        </w:tc>
        <w:tc>
          <w:tcPr>
            <w:tcW w:w="4160" w:type="dxa"/>
            <w:vAlign w:val="bottom"/>
            <w:tcBorders>
              <w:top w:val="single" w:sz="8" w:color="0000FF"/>
            </w:tcBorders>
            <w:gridSpan w:val="2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49"/>
          </w:tcPr>
          <w:p>
            <w:pPr>
              <w:spacing w:after="0" w:line="200" w:lineRule="exact"/>
              <w:rPr>
                <w:rFonts w:ascii="Arial" w:cs="Arial" w:eastAsia="Arial" w:hAnsi="Arial"/>
                <w:sz w:val="18"/>
                <w:szCs w:val="18"/>
                <w:color w:val="0000FF"/>
              </w:rPr>
            </w:pPr>
            <w:hyperlink r:id="rId197">
              <w:r>
                <w:rPr>
                  <w:rFonts w:ascii="Arial" w:cs="Arial" w:eastAsia="Arial" w:hAnsi="Arial"/>
                  <w:sz w:val="18"/>
                  <w:szCs w:val="18"/>
                  <w:color w:val="0000FF"/>
                </w:rPr>
                <w:t>Praxis Precision Medicines, Inc. 2020 Employee Stock Purchase Plan (incorporated by reference to Exhibit</w:t>
              </w:r>
            </w:hyperlink>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40" w:type="dxa"/>
            <w:vAlign w:val="bottom"/>
            <w:gridSpan w:val="3"/>
            <w:vMerge w:val="restart"/>
          </w:tcPr>
          <w:p>
            <w:pPr>
              <w:spacing w:after="0"/>
              <w:rPr>
                <w:rFonts w:ascii="Arial" w:cs="Arial" w:eastAsia="Arial" w:hAnsi="Arial"/>
                <w:sz w:val="18"/>
                <w:szCs w:val="18"/>
                <w:color w:val="0000FF"/>
                <w:w w:val="90"/>
              </w:rPr>
            </w:pPr>
            <w:hyperlink r:id="rId197">
              <w:r>
                <w:rPr>
                  <w:rFonts w:ascii="Arial" w:cs="Arial" w:eastAsia="Arial" w:hAnsi="Arial"/>
                  <w:sz w:val="18"/>
                  <w:szCs w:val="18"/>
                  <w:color w:val="0000FF"/>
                  <w:w w:val="90"/>
                </w:rPr>
                <w:t>10.</w:t>
              </w:r>
            </w:hyperlink>
            <w:r>
              <w:rPr>
                <w:rFonts w:ascii="Arial" w:cs="Arial" w:eastAsia="Arial" w:hAnsi="Arial"/>
                <w:sz w:val="18"/>
                <w:szCs w:val="18"/>
                <w:u w:val="single" w:color="auto"/>
                <w:color w:val="0000FF"/>
                <w:w w:val="90"/>
              </w:rPr>
              <w:t>12#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80" w:type="dxa"/>
            <w:vAlign w:val="bottom"/>
            <w:tcBorders>
              <w:top w:val="single" w:sz="8" w:color="0000FF"/>
            </w:tcBorders>
            <w:gridSpan w:val="40"/>
          </w:tcPr>
          <w:p>
            <w:pPr>
              <w:spacing w:after="0" w:line="153" w:lineRule="exact"/>
              <w:rPr>
                <w:rFonts w:ascii="Arial" w:cs="Arial" w:eastAsia="Arial" w:hAnsi="Arial"/>
                <w:sz w:val="17"/>
                <w:szCs w:val="17"/>
                <w:color w:val="0000FF"/>
              </w:rPr>
            </w:pPr>
            <w:hyperlink r:id="rId197">
              <w:r>
                <w:rPr>
                  <w:rFonts w:ascii="Arial" w:cs="Arial" w:eastAsia="Arial" w:hAnsi="Arial"/>
                  <w:sz w:val="17"/>
                  <w:szCs w:val="17"/>
                  <w:color w:val="0000FF"/>
                </w:rPr>
                <w:t>10.</w:t>
              </w:r>
              <w:r>
                <w:rPr>
                  <w:rFonts w:ascii="Arial" w:cs="Arial" w:eastAsia="Arial" w:hAnsi="Arial"/>
                  <w:sz w:val="17"/>
                  <w:szCs w:val="17"/>
                  <w:u w:val="single" w:color="auto"/>
                  <w:color w:val="0000FF"/>
                </w:rPr>
                <w:t>11</w:t>
              </w:r>
              <w:r>
                <w:rPr>
                  <w:rFonts w:ascii="Arial" w:cs="Arial" w:eastAsia="Arial" w:hAnsi="Arial"/>
                  <w:sz w:val="17"/>
                  <w:szCs w:val="17"/>
                  <w:color w:val="0000FF"/>
                </w:rPr>
                <w:t xml:space="preserve"> to the Registrant's Registration Statement on Form S-1/A (File No. 333-249074) filed on October 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20" w:type="dxa"/>
            <w:vAlign w:val="bottom"/>
            <w:tcBorders>
              <w:top w:val="single" w:sz="8" w:color="0000FF"/>
            </w:tcBorders>
            <w:gridSpan w:val="2"/>
          </w:tcPr>
          <w:p>
            <w:pPr>
              <w:spacing w:after="0" w:line="166" w:lineRule="exact"/>
              <w:rPr>
                <w:rFonts w:ascii="Arial" w:cs="Arial" w:eastAsia="Arial" w:hAnsi="Arial"/>
                <w:sz w:val="18"/>
                <w:szCs w:val="18"/>
                <w:color w:val="0000FF"/>
              </w:rPr>
            </w:pPr>
            <w:hyperlink r:id="rId197">
              <w:r>
                <w:rPr>
                  <w:rFonts w:ascii="Arial" w:cs="Arial" w:eastAsia="Arial" w:hAnsi="Arial"/>
                  <w:sz w:val="18"/>
                  <w:szCs w:val="18"/>
                  <w:color w:val="0000FF"/>
                </w:rPr>
                <w:t>2020)</w:t>
              </w:r>
            </w:hyperlink>
          </w:p>
        </w:tc>
        <w:tc>
          <w:tcPr>
            <w:tcW w:w="2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00" w:type="dxa"/>
            <w:vAlign w:val="bottom"/>
            <w:tcBorders>
              <w:bottom w:val="single" w:sz="8" w:color="0000FF"/>
            </w:tcBorders>
            <w:gridSpan w:val="20"/>
          </w:tcPr>
          <w:p>
            <w:pPr>
              <w:spacing w:after="0" w:line="187" w:lineRule="exact"/>
              <w:rPr>
                <w:rFonts w:ascii="Arial" w:cs="Arial" w:eastAsia="Arial" w:hAnsi="Arial"/>
                <w:sz w:val="18"/>
                <w:szCs w:val="18"/>
                <w:color w:val="0000FF"/>
                <w:w w:val="98"/>
              </w:rPr>
            </w:pPr>
            <w:hyperlink r:id="rId198">
              <w:r>
                <w:rPr>
                  <w:rFonts w:ascii="Arial" w:cs="Arial" w:eastAsia="Arial" w:hAnsi="Arial"/>
                  <w:sz w:val="18"/>
                  <w:szCs w:val="18"/>
                  <w:color w:val="0000FF"/>
                  <w:w w:val="98"/>
                </w:rPr>
                <w:t>Praxis Precision Medicines, Inc. 2024 Inducement Plan and Forms of Award Agreements thereunder</w:t>
              </w:r>
            </w:hyperlink>
          </w:p>
        </w:tc>
        <w:tc>
          <w:tcPr>
            <w:tcW w:w="214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40" w:type="dxa"/>
            <w:vAlign w:val="bottom"/>
            <w:gridSpan w:val="3"/>
            <w:vMerge w:val="restart"/>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10.</w:t>
              </w:r>
            </w:hyperlink>
            <w:r>
              <w:rPr>
                <w:rFonts w:ascii="Arial" w:cs="Arial" w:eastAsia="Arial" w:hAnsi="Arial"/>
                <w:sz w:val="18"/>
                <w:szCs w:val="18"/>
                <w:u w:val="single" w:color="auto"/>
                <w:color w:val="0000FF"/>
                <w:w w:val="90"/>
              </w:rPr>
              <w:t>13#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40" w:type="dxa"/>
            <w:vAlign w:val="bottom"/>
            <w:gridSpan w:val="49"/>
          </w:tcPr>
          <w:p>
            <w:pPr>
              <w:spacing w:after="0" w:line="153" w:lineRule="exact"/>
              <w:rPr>
                <w:rFonts w:ascii="Arial" w:cs="Arial" w:eastAsia="Arial" w:hAnsi="Arial"/>
                <w:sz w:val="17"/>
                <w:szCs w:val="17"/>
                <w:color w:val="0000FF"/>
              </w:rPr>
            </w:pPr>
            <w:hyperlink r:id="rId198">
              <w:r>
                <w:rPr>
                  <w:rFonts w:ascii="Arial" w:cs="Arial" w:eastAsia="Arial" w:hAnsi="Arial"/>
                  <w:sz w:val="17"/>
                  <w:szCs w:val="17"/>
                  <w:color w:val="0000FF"/>
                </w:rPr>
                <w:t>(incorporated by reference to Exhibit 99.1 to the Registrant's Registration Statement on Form S-8 (File No.</w:t>
              </w:r>
            </w:hyperlink>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40" w:type="dxa"/>
            <w:vAlign w:val="bottom"/>
            <w:tcBorders>
              <w:bottom w:val="single" w:sz="8" w:color="0000FF"/>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4"/>
          </w:tcPr>
          <w:p>
            <w:pPr>
              <w:spacing w:after="0" w:line="166" w:lineRule="exact"/>
              <w:rPr>
                <w:rFonts w:ascii="Arial" w:cs="Arial" w:eastAsia="Arial" w:hAnsi="Arial"/>
                <w:sz w:val="18"/>
                <w:szCs w:val="18"/>
                <w:color w:val="0000FF"/>
                <w:w w:val="98"/>
              </w:rPr>
            </w:pPr>
            <w:hyperlink r:id="rId198">
              <w:r>
                <w:rPr>
                  <w:rFonts w:ascii="Arial" w:cs="Arial" w:eastAsia="Arial" w:hAnsi="Arial"/>
                  <w:sz w:val="18"/>
                  <w:szCs w:val="18"/>
                  <w:color w:val="0000FF"/>
                  <w:w w:val="98"/>
                </w:rPr>
                <w:t>333-276786) filed on January 31, 2024)</w:t>
              </w:r>
            </w:hyperlink>
          </w:p>
        </w:tc>
        <w:tc>
          <w:tcPr>
            <w:tcW w:w="5280" w:type="dxa"/>
            <w:vAlign w:val="bottom"/>
            <w:tcBorders>
              <w:top w:val="single" w:sz="8" w:color="0000FF"/>
            </w:tcBorders>
            <w:gridSpan w:val="3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49"/>
          </w:tcPr>
          <w:p>
            <w:pPr>
              <w:spacing w:after="0"/>
              <w:rPr>
                <w:rFonts w:ascii="Arial" w:cs="Arial" w:eastAsia="Arial" w:hAnsi="Arial"/>
                <w:sz w:val="18"/>
                <w:szCs w:val="18"/>
                <w:color w:val="0000FF"/>
              </w:rPr>
            </w:pPr>
            <w:hyperlink r:id="rId199">
              <w:r>
                <w:rPr>
                  <w:rFonts w:ascii="Arial" w:cs="Arial" w:eastAsia="Arial" w:hAnsi="Arial"/>
                  <w:sz w:val="18"/>
                  <w:szCs w:val="18"/>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40" w:type="dxa"/>
            <w:vAlign w:val="bottom"/>
            <w:gridSpan w:val="3"/>
            <w:vMerge w:val="restart"/>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10.</w:t>
              </w:r>
            </w:hyperlink>
            <w:r>
              <w:rPr>
                <w:rFonts w:ascii="Arial" w:cs="Arial" w:eastAsia="Arial" w:hAnsi="Arial"/>
                <w:sz w:val="18"/>
                <w:szCs w:val="18"/>
                <w:u w:val="single" w:color="auto"/>
                <w:color w:val="0000FF"/>
                <w:w w:val="90"/>
              </w:rPr>
              <w:t>14#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540" w:type="dxa"/>
            <w:vAlign w:val="bottom"/>
            <w:tcBorders>
              <w:top w:val="single" w:sz="8" w:color="0000FF"/>
            </w:tcBorders>
            <w:gridSpan w:val="43"/>
          </w:tcPr>
          <w:p>
            <w:pPr>
              <w:spacing w:after="0" w:line="153" w:lineRule="exact"/>
              <w:rPr>
                <w:rFonts w:ascii="Arial" w:cs="Arial" w:eastAsia="Arial" w:hAnsi="Arial"/>
                <w:sz w:val="17"/>
                <w:szCs w:val="17"/>
                <w:color w:val="0000FF"/>
              </w:rPr>
            </w:pPr>
            <w:hyperlink r:id="rId199">
              <w:r>
                <w:rPr>
                  <w:rFonts w:ascii="Arial" w:cs="Arial" w:eastAsia="Arial" w:hAnsi="Arial"/>
                  <w:sz w:val="17"/>
                  <w:szCs w:val="17"/>
                  <w:color w:val="0000FF"/>
                </w:rPr>
                <w:t>Medicines, Inc. and Marcio Souza (incorporated by reference to Exhibit 10.12 to the Registrant's Annual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40" w:type="dxa"/>
            <w:vAlign w:val="bottom"/>
            <w:tcBorders>
              <w:bottom w:val="single" w:sz="8" w:color="0000FF"/>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40" w:type="dxa"/>
            <w:vAlign w:val="bottom"/>
            <w:tcBorders>
              <w:top w:val="single" w:sz="8" w:color="0000FF"/>
              <w:bottom w:val="single" w:sz="8" w:color="0000FF"/>
            </w:tcBorders>
            <w:gridSpan w:val="11"/>
          </w:tcPr>
          <w:p>
            <w:pPr>
              <w:spacing w:after="0" w:line="166" w:lineRule="exact"/>
              <w:rPr>
                <w:rFonts w:ascii="Arial" w:cs="Arial" w:eastAsia="Arial" w:hAnsi="Arial"/>
                <w:sz w:val="18"/>
                <w:szCs w:val="18"/>
                <w:color w:val="0000FF"/>
                <w:w w:val="98"/>
              </w:rPr>
            </w:pPr>
            <w:hyperlink r:id="rId199">
              <w:r>
                <w:rPr>
                  <w:rFonts w:ascii="Arial" w:cs="Arial" w:eastAsia="Arial" w:hAnsi="Arial"/>
                  <w:sz w:val="18"/>
                  <w:szCs w:val="18"/>
                  <w:color w:val="0000FF"/>
                  <w:w w:val="98"/>
                </w:rPr>
                <w:t>Report on Form 10-K (File No. 001-39620) filed on February 28, 2022)</w:t>
              </w:r>
            </w:hyperlink>
          </w:p>
        </w:tc>
        <w:tc>
          <w:tcPr>
            <w:tcW w:w="262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49"/>
          </w:tcPr>
          <w:p>
            <w:pPr>
              <w:spacing w:after="0"/>
              <w:rPr>
                <w:rFonts w:ascii="Arial" w:cs="Arial" w:eastAsia="Arial" w:hAnsi="Arial"/>
                <w:sz w:val="18"/>
                <w:szCs w:val="18"/>
                <w:color w:val="0000FF"/>
              </w:rPr>
            </w:pPr>
            <w:hyperlink r:id="rId200">
              <w:r>
                <w:rPr>
                  <w:rFonts w:ascii="Arial" w:cs="Arial" w:eastAsia="Arial" w:hAnsi="Arial"/>
                  <w:sz w:val="18"/>
                  <w:szCs w:val="18"/>
                  <w:color w:val="0000FF"/>
                </w:rPr>
                <w:t>Amended and Restated Employment Agreement, dated May 13, 2021, by and between Praxis Precision</w:t>
              </w:r>
            </w:hyperlink>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40" w:type="dxa"/>
            <w:vAlign w:val="bottom"/>
            <w:gridSpan w:val="3"/>
            <w:vMerge w:val="restart"/>
          </w:tcPr>
          <w:p>
            <w:pPr>
              <w:spacing w:after="0"/>
              <w:rPr>
                <w:rFonts w:ascii="Arial" w:cs="Arial" w:eastAsia="Arial" w:hAnsi="Arial"/>
                <w:sz w:val="18"/>
                <w:szCs w:val="18"/>
                <w:color w:val="0000FF"/>
                <w:w w:val="90"/>
              </w:rPr>
            </w:pPr>
            <w:hyperlink r:id="rId200">
              <w:r>
                <w:rPr>
                  <w:rFonts w:ascii="Arial" w:cs="Arial" w:eastAsia="Arial" w:hAnsi="Arial"/>
                  <w:sz w:val="18"/>
                  <w:szCs w:val="18"/>
                  <w:color w:val="0000FF"/>
                  <w:w w:val="90"/>
                </w:rPr>
                <w:t>10.</w:t>
              </w:r>
            </w:hyperlink>
            <w:r>
              <w:rPr>
                <w:rFonts w:ascii="Arial" w:cs="Arial" w:eastAsia="Arial" w:hAnsi="Arial"/>
                <w:sz w:val="18"/>
                <w:szCs w:val="18"/>
                <w:u w:val="single" w:color="auto"/>
                <w:color w:val="0000FF"/>
                <w:w w:val="90"/>
              </w:rPr>
              <w:t>15#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180" w:type="dxa"/>
            <w:vAlign w:val="bottom"/>
            <w:tcBorders>
              <w:top w:val="single" w:sz="8" w:color="0000FF"/>
            </w:tcBorders>
            <w:gridSpan w:val="27"/>
          </w:tcPr>
          <w:p>
            <w:pPr>
              <w:spacing w:after="0" w:line="153" w:lineRule="exact"/>
              <w:rPr>
                <w:rFonts w:ascii="Arial" w:cs="Arial" w:eastAsia="Arial" w:hAnsi="Arial"/>
                <w:sz w:val="17"/>
                <w:szCs w:val="17"/>
                <w:color w:val="0000FF"/>
              </w:rPr>
            </w:pPr>
            <w:hyperlink r:id="rId200">
              <w:r>
                <w:rPr>
                  <w:rFonts w:ascii="Arial" w:cs="Arial" w:eastAsia="Arial" w:hAnsi="Arial"/>
                  <w:sz w:val="17"/>
                  <w:szCs w:val="17"/>
                  <w:color w:val="0000FF"/>
                </w:rPr>
                <w:t>Medicines, Inc. and Timothy Kelly (incorporated by reference to Exhibit 10.13 to the Registrant's Annual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40" w:type="dxa"/>
            <w:vAlign w:val="bottom"/>
            <w:tcBorders>
              <w:bottom w:val="single" w:sz="8" w:color="0000FF"/>
            </w:tcBorders>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40" w:type="dxa"/>
            <w:vAlign w:val="bottom"/>
            <w:tcBorders>
              <w:top w:val="single" w:sz="8" w:color="0000FF"/>
              <w:bottom w:val="single" w:sz="8" w:color="0000FF"/>
            </w:tcBorders>
            <w:gridSpan w:val="10"/>
          </w:tcPr>
          <w:p>
            <w:pPr>
              <w:spacing w:after="0" w:line="166" w:lineRule="exact"/>
              <w:rPr>
                <w:rFonts w:ascii="Arial" w:cs="Arial" w:eastAsia="Arial" w:hAnsi="Arial"/>
                <w:sz w:val="18"/>
                <w:szCs w:val="18"/>
                <w:color w:val="0000FF"/>
                <w:w w:val="98"/>
              </w:rPr>
            </w:pPr>
            <w:hyperlink r:id="rId200">
              <w:r>
                <w:rPr>
                  <w:rFonts w:ascii="Arial" w:cs="Arial" w:eastAsia="Arial" w:hAnsi="Arial"/>
                  <w:sz w:val="18"/>
                  <w:szCs w:val="18"/>
                  <w:color w:val="0000FF"/>
                  <w:w w:val="98"/>
                </w:rPr>
                <w:t>Report on Form 10-K (File No. 001-39620) filed on February 7, 2023)</w:t>
              </w:r>
            </w:hyperlink>
          </w:p>
        </w:tc>
        <w:tc>
          <w:tcPr>
            <w:tcW w:w="2680" w:type="dxa"/>
            <w:vAlign w:val="bottom"/>
            <w:tcBorders>
              <w:top w:val="single" w:sz="8" w:color="0000FF"/>
            </w:tcBorders>
            <w:gridSpan w:val="14"/>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6"/>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40" w:type="dxa"/>
            <w:vAlign w:val="bottom"/>
            <w:gridSpan w:val="49"/>
          </w:tcPr>
          <w:p>
            <w:pPr>
              <w:spacing w:after="0" w:line="187" w:lineRule="exact"/>
              <w:rPr>
                <w:rFonts w:ascii="Arial" w:cs="Arial" w:eastAsia="Arial" w:hAnsi="Arial"/>
                <w:sz w:val="18"/>
                <w:szCs w:val="18"/>
                <w:color w:val="0000FF"/>
              </w:rPr>
            </w:pPr>
            <w:hyperlink r:id="rId201">
              <w:r>
                <w:rPr>
                  <w:rFonts w:ascii="Arial" w:cs="Arial" w:eastAsia="Arial" w:hAnsi="Arial"/>
                  <w:sz w:val="18"/>
                  <w:szCs w:val="18"/>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40" w:type="dxa"/>
            <w:vAlign w:val="bottom"/>
            <w:gridSpan w:val="3"/>
            <w:vMerge w:val="restart"/>
          </w:tcPr>
          <w:p>
            <w:pPr>
              <w:spacing w:after="0"/>
              <w:rPr>
                <w:rFonts w:ascii="Arial" w:cs="Arial" w:eastAsia="Arial" w:hAnsi="Arial"/>
                <w:sz w:val="18"/>
                <w:szCs w:val="18"/>
                <w:color w:val="0000FF"/>
                <w:w w:val="90"/>
              </w:rPr>
            </w:pPr>
            <w:hyperlink r:id="rId201">
              <w:r>
                <w:rPr>
                  <w:rFonts w:ascii="Arial" w:cs="Arial" w:eastAsia="Arial" w:hAnsi="Arial"/>
                  <w:sz w:val="18"/>
                  <w:szCs w:val="18"/>
                  <w:color w:val="0000FF"/>
                  <w:w w:val="90"/>
                </w:rPr>
                <w:t>10.</w:t>
              </w:r>
            </w:hyperlink>
            <w:r>
              <w:rPr>
                <w:rFonts w:ascii="Arial" w:cs="Arial" w:eastAsia="Arial" w:hAnsi="Arial"/>
                <w:sz w:val="18"/>
                <w:szCs w:val="18"/>
                <w:u w:val="single" w:color="auto"/>
                <w:color w:val="0000FF"/>
                <w:w w:val="90"/>
              </w:rPr>
              <w:t>16#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540" w:type="dxa"/>
            <w:vAlign w:val="bottom"/>
            <w:tcBorders>
              <w:top w:val="single" w:sz="8" w:color="0000FF"/>
            </w:tcBorders>
            <w:gridSpan w:val="43"/>
          </w:tcPr>
          <w:p>
            <w:pPr>
              <w:spacing w:after="0" w:line="153" w:lineRule="exact"/>
              <w:rPr>
                <w:rFonts w:ascii="Arial" w:cs="Arial" w:eastAsia="Arial" w:hAnsi="Arial"/>
                <w:sz w:val="17"/>
                <w:szCs w:val="17"/>
                <w:color w:val="0000FF"/>
              </w:rPr>
            </w:pPr>
            <w:hyperlink r:id="rId201">
              <w:r>
                <w:rPr>
                  <w:rFonts w:ascii="Arial" w:cs="Arial" w:eastAsia="Arial" w:hAnsi="Arial"/>
                  <w:sz w:val="17"/>
                  <w:szCs w:val="17"/>
                  <w:color w:val="0000FF"/>
                </w:rPr>
                <w:t>Medicines, Inc. and Alex Nemiroff (incorporated by reference to Exhibit 10.15 to the Registrant's Annual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40" w:type="dxa"/>
            <w:vAlign w:val="bottom"/>
            <w:tcBorders>
              <w:bottom w:val="single" w:sz="8" w:color="0000FF"/>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9"/>
          </w:tcPr>
          <w:p>
            <w:pPr>
              <w:spacing w:after="0" w:line="166" w:lineRule="exact"/>
              <w:rPr>
                <w:rFonts w:ascii="Arial" w:cs="Arial" w:eastAsia="Arial" w:hAnsi="Arial"/>
                <w:sz w:val="18"/>
                <w:szCs w:val="18"/>
                <w:color w:val="0000FF"/>
                <w:w w:val="98"/>
              </w:rPr>
            </w:pPr>
            <w:hyperlink r:id="rId201">
              <w:r>
                <w:rPr>
                  <w:rFonts w:ascii="Arial" w:cs="Arial" w:eastAsia="Arial" w:hAnsi="Arial"/>
                  <w:sz w:val="18"/>
                  <w:szCs w:val="18"/>
                  <w:color w:val="0000FF"/>
                  <w:w w:val="98"/>
                </w:rPr>
                <w:t>Report on Form 10-K (File No. 001-39620) filed on March 5, 2024)</w:t>
              </w:r>
            </w:hyperlink>
          </w:p>
        </w:tc>
        <w:tc>
          <w:tcPr>
            <w:tcW w:w="2920" w:type="dxa"/>
            <w:vAlign w:val="bottom"/>
            <w:tcBorders>
              <w:top w:val="single" w:sz="8" w:color="0000FF"/>
            </w:tcBorders>
            <w:gridSpan w:val="1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00" w:type="dxa"/>
            <w:vAlign w:val="bottom"/>
            <w:gridSpan w:val="6"/>
            <w:vMerge w:val="restart"/>
          </w:tcPr>
          <w:p>
            <w:pPr>
              <w:ind w:lef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17#*</w:t>
            </w:r>
          </w:p>
        </w:tc>
        <w:tc>
          <w:tcPr>
            <w:tcW w:w="10040" w:type="dxa"/>
            <w:vAlign w:val="bottom"/>
            <w:gridSpan w:val="49"/>
          </w:tcPr>
          <w:p>
            <w:pPr>
              <w:spacing w:after="0"/>
              <w:rPr>
                <w:sz w:val="20"/>
                <w:szCs w:val="20"/>
                <w:color w:val="auto"/>
              </w:rPr>
            </w:pPr>
            <w:r>
              <w:rPr>
                <w:rFonts w:ascii="Arial" w:cs="Arial" w:eastAsia="Arial" w:hAnsi="Arial"/>
                <w:sz w:val="18"/>
                <w:szCs w:val="18"/>
                <w:color w:val="0000FF"/>
              </w:rPr>
              <w:t>Amended and Restated Employment Agreement, dated November 29, 2021, by and between Praxis</w:t>
            </w:r>
          </w:p>
        </w:tc>
        <w:tc>
          <w:tcPr>
            <w:tcW w:w="0" w:type="dxa"/>
            <w:vAlign w:val="bottom"/>
          </w:tcPr>
          <w:p>
            <w:pPr>
              <w:spacing w:after="0"/>
              <w:rPr>
                <w:sz w:val="1"/>
                <w:szCs w:val="1"/>
                <w:color w:val="auto"/>
              </w:rPr>
            </w:pPr>
          </w:p>
        </w:tc>
      </w:tr>
      <w:tr>
        <w:trPr>
          <w:trHeight w:val="173"/>
        </w:trPr>
        <w:tc>
          <w:tcPr>
            <w:tcW w:w="1200" w:type="dxa"/>
            <w:vAlign w:val="bottom"/>
            <w:gridSpan w:val="6"/>
            <w:vMerge w:val="continue"/>
          </w:tcPr>
          <w:p>
            <w:pPr>
              <w:spacing w:after="0"/>
              <w:rPr>
                <w:sz w:val="15"/>
                <w:szCs w:val="15"/>
                <w:color w:val="auto"/>
              </w:rPr>
            </w:pPr>
          </w:p>
        </w:tc>
        <w:tc>
          <w:tcPr>
            <w:tcW w:w="3760" w:type="dxa"/>
            <w:vAlign w:val="bottom"/>
            <w:tcBorders>
              <w:top w:val="single" w:sz="8" w:color="0000FF"/>
              <w:bottom w:val="single" w:sz="8" w:color="0000FF"/>
            </w:tcBorders>
            <w:gridSpan w:val="5"/>
          </w:tcPr>
          <w:p>
            <w:pPr>
              <w:spacing w:after="0" w:line="140" w:lineRule="exact"/>
              <w:rPr>
                <w:sz w:val="20"/>
                <w:szCs w:val="20"/>
                <w:color w:val="auto"/>
              </w:rPr>
            </w:pPr>
            <w:r>
              <w:rPr>
                <w:rFonts w:ascii="Arial" w:cs="Arial" w:eastAsia="Arial" w:hAnsi="Arial"/>
                <w:sz w:val="16"/>
                <w:szCs w:val="16"/>
                <w:color w:val="0000FF"/>
              </w:rPr>
              <w:t>Precision Medicines, Inc. and Megan Sniecinski</w:t>
            </w:r>
          </w:p>
        </w:tc>
        <w:tc>
          <w:tcPr>
            <w:tcW w:w="410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8220" w:type="dxa"/>
            <w:vAlign w:val="bottom"/>
            <w:tcBorders>
              <w:bottom w:val="single" w:sz="8" w:color="0000FF"/>
            </w:tcBorders>
            <w:gridSpan w:val="29"/>
          </w:tcPr>
          <w:p>
            <w:pPr>
              <w:spacing w:after="0" w:line="200" w:lineRule="exact"/>
              <w:rPr>
                <w:rFonts w:ascii="Arial" w:cs="Arial" w:eastAsia="Arial" w:hAnsi="Arial"/>
                <w:sz w:val="18"/>
                <w:szCs w:val="18"/>
                <w:color w:val="0000FF"/>
                <w:w w:val="98"/>
              </w:rPr>
            </w:pPr>
            <w:hyperlink r:id="rId202">
              <w:r>
                <w:rPr>
                  <w:rFonts w:ascii="Arial" w:cs="Arial" w:eastAsia="Arial" w:hAnsi="Arial"/>
                  <w:sz w:val="18"/>
                  <w:szCs w:val="18"/>
                  <w:color w:val="0000FF"/>
                  <w:w w:val="98"/>
                </w:rPr>
                <w:t>Employment Agreement Amendment Letter, dated October 11, 2024, by and between Marcio Souza and</w:t>
              </w:r>
            </w:hyperlink>
          </w:p>
        </w:tc>
        <w:tc>
          <w:tcPr>
            <w:tcW w:w="18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20" w:type="dxa"/>
            <w:vAlign w:val="bottom"/>
            <w:gridSpan w:val="4"/>
            <w:vMerge w:val="restart"/>
          </w:tcPr>
          <w:p>
            <w:pPr>
              <w:spacing w:after="0"/>
              <w:rPr>
                <w:rFonts w:ascii="Arial" w:cs="Arial" w:eastAsia="Arial" w:hAnsi="Arial"/>
                <w:sz w:val="18"/>
                <w:szCs w:val="18"/>
                <w:color w:val="0000FF"/>
              </w:rPr>
            </w:pPr>
            <w:hyperlink r:id="rId202">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560" w:type="dxa"/>
            <w:vAlign w:val="bottom"/>
          </w:tcPr>
          <w:p>
            <w:pPr>
              <w:spacing w:after="0"/>
              <w:rPr>
                <w:sz w:val="13"/>
                <w:szCs w:val="13"/>
                <w:color w:val="auto"/>
              </w:rPr>
            </w:pPr>
          </w:p>
        </w:tc>
        <w:tc>
          <w:tcPr>
            <w:tcW w:w="10040" w:type="dxa"/>
            <w:vAlign w:val="bottom"/>
            <w:gridSpan w:val="49"/>
          </w:tcPr>
          <w:p>
            <w:pPr>
              <w:spacing w:after="0" w:line="153" w:lineRule="exact"/>
              <w:rPr>
                <w:rFonts w:ascii="Arial" w:cs="Arial" w:eastAsia="Arial" w:hAnsi="Arial"/>
                <w:sz w:val="17"/>
                <w:szCs w:val="17"/>
                <w:color w:val="0000FF"/>
              </w:rPr>
            </w:pPr>
            <w:hyperlink r:id="rId202">
              <w:r>
                <w:rPr>
                  <w:rFonts w:ascii="Arial" w:cs="Arial" w:eastAsia="Arial" w:hAnsi="Arial"/>
                  <w:sz w:val="17"/>
                  <w:szCs w:val="17"/>
                  <w:color w:val="0000FF"/>
                </w:rPr>
                <w:t>Praxis Precision Medicines, Inc. (incorporated by reference to Exhibit 10.1 to the Registrant's Current Report</w:t>
              </w:r>
            </w:hyperlink>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8600" w:type="dxa"/>
            <w:vAlign w:val="bottom"/>
            <w:tcBorders>
              <w:top w:val="single" w:sz="8" w:color="0000FF"/>
            </w:tcBorders>
            <w:gridSpan w:val="46"/>
          </w:tcPr>
          <w:p>
            <w:pPr>
              <w:spacing w:after="0" w:line="166" w:lineRule="exact"/>
              <w:rPr>
                <w:rFonts w:ascii="Arial" w:cs="Arial" w:eastAsia="Arial" w:hAnsi="Arial"/>
                <w:sz w:val="18"/>
                <w:szCs w:val="18"/>
                <w:color w:val="0000FF"/>
              </w:rPr>
            </w:pPr>
            <w:hyperlink r:id="rId202">
              <w:r>
                <w:rPr>
                  <w:rFonts w:ascii="Arial" w:cs="Arial" w:eastAsia="Arial" w:hAnsi="Arial"/>
                  <w:sz w:val="18"/>
                  <w:szCs w:val="18"/>
                  <w:color w:val="0000FF"/>
                </w:rPr>
                <w:t>on Form 8-K (File No. 001-39620) filed on October 15, 2024)</w:t>
              </w:r>
            </w:hyperlink>
          </w:p>
        </w:tc>
        <w:tc>
          <w:tcPr>
            <w:tcW w:w="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0" w:type="dxa"/>
            <w:vAlign w:val="bottom"/>
            <w:tcBorders>
              <w:bottom w:val="single" w:sz="8" w:color="0000FF"/>
            </w:tcBorders>
            <w:gridSpan w:val="28"/>
          </w:tcPr>
          <w:p>
            <w:pPr>
              <w:spacing w:after="0"/>
              <w:rPr>
                <w:rFonts w:ascii="Arial" w:cs="Arial" w:eastAsia="Arial" w:hAnsi="Arial"/>
                <w:sz w:val="18"/>
                <w:szCs w:val="18"/>
                <w:color w:val="0000FF"/>
                <w:w w:val="98"/>
              </w:rPr>
            </w:pPr>
            <w:hyperlink r:id="rId203">
              <w:r>
                <w:rPr>
                  <w:rFonts w:ascii="Arial" w:cs="Arial" w:eastAsia="Arial" w:hAnsi="Arial"/>
                  <w:sz w:val="18"/>
                  <w:szCs w:val="18"/>
                  <w:color w:val="0000FF"/>
                  <w:w w:val="98"/>
                </w:rPr>
                <w:t>Employment Agreement Amendment Letter, dated October 11, 2024, by and between Timothy Kelly and</w:t>
              </w:r>
            </w:hyperlink>
          </w:p>
        </w:tc>
        <w:tc>
          <w:tcPr>
            <w:tcW w:w="18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20" w:type="dxa"/>
            <w:vAlign w:val="bottom"/>
            <w:gridSpan w:val="4"/>
            <w:vMerge w:val="restart"/>
          </w:tcPr>
          <w:p>
            <w:pPr>
              <w:spacing w:after="0"/>
              <w:rPr>
                <w:rFonts w:ascii="Arial" w:cs="Arial" w:eastAsia="Arial" w:hAnsi="Arial"/>
                <w:sz w:val="18"/>
                <w:szCs w:val="18"/>
                <w:color w:val="0000FF"/>
              </w:rPr>
            </w:pPr>
            <w:hyperlink r:id="rId203">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560" w:type="dxa"/>
            <w:vAlign w:val="bottom"/>
          </w:tcPr>
          <w:p>
            <w:pPr>
              <w:spacing w:after="0"/>
              <w:rPr>
                <w:sz w:val="13"/>
                <w:szCs w:val="13"/>
                <w:color w:val="auto"/>
              </w:rPr>
            </w:pPr>
          </w:p>
        </w:tc>
        <w:tc>
          <w:tcPr>
            <w:tcW w:w="10040" w:type="dxa"/>
            <w:vAlign w:val="bottom"/>
            <w:gridSpan w:val="49"/>
          </w:tcPr>
          <w:p>
            <w:pPr>
              <w:spacing w:after="0" w:line="153" w:lineRule="exact"/>
              <w:rPr>
                <w:rFonts w:ascii="Arial" w:cs="Arial" w:eastAsia="Arial" w:hAnsi="Arial"/>
                <w:sz w:val="17"/>
                <w:szCs w:val="17"/>
                <w:color w:val="0000FF"/>
              </w:rPr>
            </w:pPr>
            <w:hyperlink r:id="rId203">
              <w:r>
                <w:rPr>
                  <w:rFonts w:ascii="Arial" w:cs="Arial" w:eastAsia="Arial" w:hAnsi="Arial"/>
                  <w:sz w:val="17"/>
                  <w:szCs w:val="17"/>
                  <w:color w:val="0000FF"/>
                </w:rPr>
                <w:t>Praxis Precision Medicines, Inc. (incorporated by reference to Exhibit 10.2 to the Registrant's Current Report</w:t>
              </w:r>
            </w:hyperlink>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8600" w:type="dxa"/>
            <w:vAlign w:val="bottom"/>
            <w:tcBorders>
              <w:top w:val="single" w:sz="8" w:color="0000FF"/>
            </w:tcBorders>
            <w:gridSpan w:val="46"/>
          </w:tcPr>
          <w:p>
            <w:pPr>
              <w:spacing w:after="0" w:line="166" w:lineRule="exact"/>
              <w:rPr>
                <w:rFonts w:ascii="Arial" w:cs="Arial" w:eastAsia="Arial" w:hAnsi="Arial"/>
                <w:sz w:val="18"/>
                <w:szCs w:val="18"/>
                <w:color w:val="0000FF"/>
              </w:rPr>
            </w:pPr>
            <w:hyperlink r:id="rId203">
              <w:r>
                <w:rPr>
                  <w:rFonts w:ascii="Arial" w:cs="Arial" w:eastAsia="Arial" w:hAnsi="Arial"/>
                  <w:sz w:val="18"/>
                  <w:szCs w:val="18"/>
                  <w:color w:val="0000FF"/>
                </w:rPr>
                <w:t>on Form 8-K (File No. 001-39620) filed on October 15, 2024)</w:t>
              </w:r>
            </w:hyperlink>
          </w:p>
        </w:tc>
        <w:tc>
          <w:tcPr>
            <w:tcW w:w="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0" w:type="dxa"/>
            <w:vAlign w:val="bottom"/>
            <w:tcBorders>
              <w:bottom w:val="single" w:sz="8" w:color="0000FF"/>
            </w:tcBorders>
            <w:gridSpan w:val="28"/>
          </w:tcPr>
          <w:p>
            <w:pPr>
              <w:spacing w:after="0"/>
              <w:rPr>
                <w:rFonts w:ascii="Arial" w:cs="Arial" w:eastAsia="Arial" w:hAnsi="Arial"/>
                <w:sz w:val="18"/>
                <w:szCs w:val="18"/>
                <w:color w:val="0000FF"/>
                <w:w w:val="98"/>
              </w:rPr>
            </w:pPr>
            <w:hyperlink r:id="rId204">
              <w:r>
                <w:rPr>
                  <w:rFonts w:ascii="Arial" w:cs="Arial" w:eastAsia="Arial" w:hAnsi="Arial"/>
                  <w:sz w:val="18"/>
                  <w:szCs w:val="18"/>
                  <w:color w:val="0000FF"/>
                  <w:w w:val="98"/>
                </w:rPr>
                <w:t>Employment Agreement Amendment Letter, dated October 11, 2024, by and between Alex Nemiroff and</w:t>
              </w:r>
            </w:hyperlink>
          </w:p>
        </w:tc>
        <w:tc>
          <w:tcPr>
            <w:tcW w:w="18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20" w:type="dxa"/>
            <w:vAlign w:val="bottom"/>
            <w:gridSpan w:val="4"/>
            <w:vMerge w:val="restart"/>
          </w:tcPr>
          <w:p>
            <w:pPr>
              <w:spacing w:after="0"/>
              <w:rPr>
                <w:rFonts w:ascii="Arial" w:cs="Arial" w:eastAsia="Arial" w:hAnsi="Arial"/>
                <w:sz w:val="18"/>
                <w:szCs w:val="18"/>
                <w:color w:val="0000FF"/>
              </w:rPr>
            </w:pPr>
            <w:hyperlink r:id="rId204">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560" w:type="dxa"/>
            <w:vAlign w:val="bottom"/>
          </w:tcPr>
          <w:p>
            <w:pPr>
              <w:spacing w:after="0"/>
              <w:rPr>
                <w:sz w:val="13"/>
                <w:szCs w:val="13"/>
                <w:color w:val="auto"/>
              </w:rPr>
            </w:pPr>
          </w:p>
        </w:tc>
        <w:tc>
          <w:tcPr>
            <w:tcW w:w="10040" w:type="dxa"/>
            <w:vAlign w:val="bottom"/>
            <w:gridSpan w:val="49"/>
          </w:tcPr>
          <w:p>
            <w:pPr>
              <w:spacing w:after="0" w:line="153" w:lineRule="exact"/>
              <w:rPr>
                <w:rFonts w:ascii="Arial" w:cs="Arial" w:eastAsia="Arial" w:hAnsi="Arial"/>
                <w:sz w:val="17"/>
                <w:szCs w:val="17"/>
                <w:color w:val="0000FF"/>
              </w:rPr>
            </w:pPr>
            <w:hyperlink r:id="rId204">
              <w:r>
                <w:rPr>
                  <w:rFonts w:ascii="Arial" w:cs="Arial" w:eastAsia="Arial" w:hAnsi="Arial"/>
                  <w:sz w:val="17"/>
                  <w:szCs w:val="17"/>
                  <w:color w:val="0000FF"/>
                </w:rPr>
                <w:t>Praxis Precision Medicines, Inc. (incorporated by reference to Exhibit 10.3 to the Registrant's Current Report</w:t>
              </w:r>
            </w:hyperlink>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8600" w:type="dxa"/>
            <w:vAlign w:val="bottom"/>
            <w:tcBorders>
              <w:top w:val="single" w:sz="8" w:color="0000FF"/>
            </w:tcBorders>
            <w:gridSpan w:val="46"/>
          </w:tcPr>
          <w:p>
            <w:pPr>
              <w:spacing w:after="0" w:line="166" w:lineRule="exact"/>
              <w:rPr>
                <w:rFonts w:ascii="Arial" w:cs="Arial" w:eastAsia="Arial" w:hAnsi="Arial"/>
                <w:sz w:val="18"/>
                <w:szCs w:val="18"/>
                <w:color w:val="0000FF"/>
              </w:rPr>
            </w:pPr>
            <w:hyperlink r:id="rId204">
              <w:r>
                <w:rPr>
                  <w:rFonts w:ascii="Arial" w:cs="Arial" w:eastAsia="Arial" w:hAnsi="Arial"/>
                  <w:sz w:val="18"/>
                  <w:szCs w:val="18"/>
                  <w:color w:val="0000FF"/>
                </w:rPr>
                <w:t>on Form 8-K (File No. 001-39620) filed on October 15, 2024)</w:t>
              </w:r>
            </w:hyperlink>
          </w:p>
        </w:tc>
        <w:tc>
          <w:tcPr>
            <w:tcW w:w="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620" w:type="dxa"/>
            <w:vAlign w:val="bottom"/>
            <w:gridSpan w:val="4"/>
            <w:vMerge w:val="restart"/>
          </w:tcPr>
          <w:p>
            <w:pPr>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21#*</w:t>
            </w:r>
          </w:p>
        </w:tc>
        <w:tc>
          <w:tcPr>
            <w:tcW w:w="560" w:type="dxa"/>
            <w:vAlign w:val="bottom"/>
            <w:vMerge w:val="restart"/>
          </w:tcPr>
          <w:p>
            <w:pPr>
              <w:spacing w:after="0"/>
              <w:rPr>
                <w:sz w:val="17"/>
                <w:szCs w:val="17"/>
                <w:color w:val="auto"/>
              </w:rPr>
            </w:pPr>
          </w:p>
        </w:tc>
        <w:tc>
          <w:tcPr>
            <w:tcW w:w="10040" w:type="dxa"/>
            <w:vAlign w:val="bottom"/>
            <w:gridSpan w:val="49"/>
          </w:tcPr>
          <w:p>
            <w:pPr>
              <w:spacing w:after="0"/>
              <w:rPr>
                <w:sz w:val="20"/>
                <w:szCs w:val="20"/>
                <w:color w:val="auto"/>
              </w:rPr>
            </w:pPr>
            <w:r>
              <w:rPr>
                <w:rFonts w:ascii="Arial" w:cs="Arial" w:eastAsia="Arial" w:hAnsi="Arial"/>
                <w:sz w:val="18"/>
                <w:szCs w:val="18"/>
                <w:color w:val="0000FF"/>
              </w:rPr>
              <w:t>Employment Agreement Amendment Letter, dated October 11, 2024, by and between Megan Sniecinski and</w:t>
            </w: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620" w:type="dxa"/>
            <w:vAlign w:val="bottom"/>
            <w:tcBorders>
              <w:bottom w:val="single" w:sz="8" w:color="0000FF"/>
            </w:tcBorders>
            <w:gridSpan w:val="4"/>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520" w:type="dxa"/>
            <w:vAlign w:val="bottom"/>
            <w:tcBorders>
              <w:top w:val="single" w:sz="8" w:color="0000FF"/>
              <w:bottom w:val="single" w:sz="8" w:color="0000FF"/>
            </w:tcBorders>
            <w:gridSpan w:val="3"/>
          </w:tcPr>
          <w:p>
            <w:pPr>
              <w:spacing w:after="0" w:line="140" w:lineRule="exact"/>
              <w:rPr>
                <w:sz w:val="20"/>
                <w:szCs w:val="20"/>
                <w:color w:val="auto"/>
              </w:rPr>
            </w:pPr>
            <w:r>
              <w:rPr>
                <w:rFonts w:ascii="Arial" w:cs="Arial" w:eastAsia="Arial" w:hAnsi="Arial"/>
                <w:sz w:val="16"/>
                <w:szCs w:val="16"/>
                <w:color w:val="0000FF"/>
              </w:rPr>
              <w:t>Praxis Precision Medicines, Inc.</w:t>
            </w:r>
          </w:p>
        </w:tc>
        <w:tc>
          <w:tcPr>
            <w:tcW w:w="6040" w:type="dxa"/>
            <w:vAlign w:val="bottom"/>
            <w:tcBorders>
              <w:top w:val="single" w:sz="8" w:color="0000FF"/>
            </w:tcBorders>
            <w:gridSpan w:val="4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40" w:type="dxa"/>
            <w:vAlign w:val="bottom"/>
            <w:gridSpan w:val="5"/>
            <w:vMerge w:val="restart"/>
          </w:tcPr>
          <w:p>
            <w:pPr>
              <w:ind w:left="20"/>
              <w:spacing w:after="0"/>
              <w:rPr>
                <w:rFonts w:ascii="Arial" w:cs="Arial" w:eastAsia="Arial" w:hAnsi="Arial"/>
                <w:sz w:val="18"/>
                <w:szCs w:val="18"/>
                <w:color w:val="0000FF"/>
              </w:rPr>
            </w:pPr>
            <w:hyperlink r:id="rId205">
              <w:r>
                <w:rPr>
                  <w:rFonts w:ascii="Arial" w:cs="Arial" w:eastAsia="Arial" w:hAnsi="Arial"/>
                  <w:sz w:val="18"/>
                  <w:szCs w:val="18"/>
                  <w:color w:val="0000FF"/>
                </w:rPr>
                <w:t>10.</w:t>
              </w:r>
            </w:hyperlink>
            <w:r>
              <w:rPr>
                <w:rFonts w:ascii="Arial" w:cs="Arial" w:eastAsia="Arial" w:hAnsi="Arial"/>
                <w:sz w:val="18"/>
                <w:szCs w:val="18"/>
                <w:u w:val="single" w:color="auto"/>
                <w:color w:val="0000FF"/>
              </w:rPr>
              <w:t>22#</w:t>
            </w:r>
          </w:p>
        </w:tc>
        <w:tc>
          <w:tcPr>
            <w:tcW w:w="560" w:type="dxa"/>
            <w:vAlign w:val="bottom"/>
          </w:tcPr>
          <w:p>
            <w:pPr>
              <w:spacing w:after="0"/>
              <w:rPr>
                <w:sz w:val="17"/>
                <w:szCs w:val="17"/>
                <w:color w:val="auto"/>
              </w:rPr>
            </w:pPr>
          </w:p>
        </w:tc>
        <w:tc>
          <w:tcPr>
            <w:tcW w:w="10040" w:type="dxa"/>
            <w:vAlign w:val="bottom"/>
            <w:gridSpan w:val="49"/>
          </w:tcPr>
          <w:p>
            <w:pPr>
              <w:spacing w:after="0" w:line="200" w:lineRule="exact"/>
              <w:rPr>
                <w:rFonts w:ascii="Arial" w:cs="Arial" w:eastAsia="Arial" w:hAnsi="Arial"/>
                <w:sz w:val="18"/>
                <w:szCs w:val="18"/>
                <w:color w:val="0000FF"/>
              </w:rPr>
            </w:pPr>
            <w:hyperlink r:id="rId205">
              <w:r>
                <w:rPr>
                  <w:rFonts w:ascii="Arial" w:cs="Arial" w:eastAsia="Arial" w:hAnsi="Arial"/>
                  <w:sz w:val="18"/>
                  <w:szCs w:val="18"/>
                  <w:color w:val="0000FF"/>
                </w:rPr>
                <w:t xml:space="preserve">Non-Employee Director Compensation Policy (incorporated by reference to Exhibit </w:t>
              </w:r>
            </w:hyperlink>
            <w:r>
              <w:rPr>
                <w:rFonts w:ascii="Arial" w:cs="Arial" w:eastAsia="Arial" w:hAnsi="Arial"/>
                <w:sz w:val="18"/>
                <w:szCs w:val="18"/>
                <w:color w:val="0000FF"/>
              </w:rPr>
              <w:t xml:space="preserve">99.1 </w:t>
            </w:r>
            <w:hyperlink r:id="rId205">
              <w:r>
                <w:rPr>
                  <w:rFonts w:ascii="Arial" w:cs="Arial" w:eastAsia="Arial" w:hAnsi="Arial"/>
                  <w:sz w:val="18"/>
                  <w:szCs w:val="18"/>
                  <w:color w:val="0000FF"/>
                </w:rPr>
                <w:t>to the Registrant's</w:t>
              </w:r>
            </w:hyperlink>
          </w:p>
        </w:tc>
        <w:tc>
          <w:tcPr>
            <w:tcW w:w="0" w:type="dxa"/>
            <w:vAlign w:val="bottom"/>
          </w:tcPr>
          <w:p>
            <w:pPr>
              <w:spacing w:after="0"/>
              <w:rPr>
                <w:sz w:val="1"/>
                <w:szCs w:val="1"/>
                <w:color w:val="auto"/>
              </w:rPr>
            </w:pPr>
          </w:p>
        </w:tc>
      </w:tr>
      <w:tr>
        <w:trPr>
          <w:trHeight w:val="153"/>
        </w:trPr>
        <w:tc>
          <w:tcPr>
            <w:tcW w:w="640" w:type="dxa"/>
            <w:vAlign w:val="bottom"/>
            <w:gridSpan w:val="5"/>
            <w:vMerge w:val="continue"/>
          </w:tcPr>
          <w:p>
            <w:pPr>
              <w:spacing w:after="0"/>
              <w:rPr>
                <w:sz w:val="13"/>
                <w:szCs w:val="13"/>
                <w:color w:val="auto"/>
              </w:rPr>
            </w:pPr>
          </w:p>
        </w:tc>
        <w:tc>
          <w:tcPr>
            <w:tcW w:w="560" w:type="dxa"/>
            <w:vAlign w:val="bottom"/>
          </w:tcPr>
          <w:p>
            <w:pPr>
              <w:spacing w:after="0"/>
              <w:rPr>
                <w:sz w:val="13"/>
                <w:szCs w:val="13"/>
                <w:color w:val="auto"/>
              </w:rPr>
            </w:pPr>
          </w:p>
        </w:tc>
        <w:tc>
          <w:tcPr>
            <w:tcW w:w="8380" w:type="dxa"/>
            <w:vAlign w:val="bottom"/>
            <w:tcBorders>
              <w:top w:val="single" w:sz="8" w:color="0000FF"/>
            </w:tcBorders>
            <w:gridSpan w:val="35"/>
          </w:tcPr>
          <w:p>
            <w:pPr>
              <w:spacing w:after="0" w:line="140" w:lineRule="exact"/>
              <w:rPr>
                <w:rFonts w:ascii="Arial" w:cs="Arial" w:eastAsia="Arial" w:hAnsi="Arial"/>
                <w:sz w:val="16"/>
                <w:szCs w:val="16"/>
                <w:color w:val="0000FF"/>
              </w:rPr>
            </w:pPr>
            <w:hyperlink r:id="rId205">
              <w:r>
                <w:rPr>
                  <w:rFonts w:ascii="Arial" w:cs="Arial" w:eastAsia="Arial" w:hAnsi="Arial"/>
                  <w:sz w:val="16"/>
                  <w:szCs w:val="16"/>
                  <w:color w:val="0000FF"/>
                </w:rPr>
                <w:t>Current Report on Form 8-</w:t>
              </w:r>
            </w:hyperlink>
            <w:r>
              <w:rPr>
                <w:rFonts w:ascii="Arial" w:cs="Arial" w:eastAsia="Arial" w:hAnsi="Arial"/>
                <w:sz w:val="16"/>
                <w:szCs w:val="16"/>
                <w:color w:val="0000FF"/>
              </w:rPr>
              <w:t xml:space="preserve">K/A </w:t>
            </w:r>
            <w:hyperlink r:id="rId205">
              <w:r>
                <w:rPr>
                  <w:rFonts w:ascii="Arial" w:cs="Arial" w:eastAsia="Arial" w:hAnsi="Arial"/>
                  <w:sz w:val="16"/>
                  <w:szCs w:val="16"/>
                  <w:color w:val="0000FF"/>
                </w:rPr>
                <w:t>(File No. 001-39620) filed on February 10, 2026)</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640" w:type="dxa"/>
            <w:vAlign w:val="bottom"/>
            <w:gridSpan w:val="10"/>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49"/>
          </w:tcPr>
          <w:p>
            <w:pPr>
              <w:spacing w:after="0" w:line="200" w:lineRule="exact"/>
              <w:rPr>
                <w:rFonts w:ascii="Arial" w:cs="Arial" w:eastAsia="Arial" w:hAnsi="Arial"/>
                <w:sz w:val="18"/>
                <w:szCs w:val="18"/>
                <w:color w:val="0000FF"/>
              </w:rPr>
            </w:pPr>
            <w:hyperlink r:id="rId206">
              <w:r>
                <w:rPr>
                  <w:rFonts w:ascii="Arial" w:cs="Arial" w:eastAsia="Arial" w:hAnsi="Arial"/>
                  <w:sz w:val="18"/>
                  <w:szCs w:val="18"/>
                  <w:color w:val="0000FF"/>
                </w:rPr>
                <w:t>Cooperation and License Agreement, dated September 11, 2019, by and between RogCon Inc. and Praxis</w:t>
              </w:r>
            </w:hyperlink>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80" w:type="dxa"/>
            <w:vAlign w:val="bottom"/>
            <w:gridSpan w:val="5"/>
            <w:vMerge w:val="restart"/>
          </w:tcPr>
          <w:p>
            <w:pPr>
              <w:spacing w:after="0"/>
              <w:rPr>
                <w:rFonts w:ascii="Arial" w:cs="Arial" w:eastAsia="Arial" w:hAnsi="Arial"/>
                <w:sz w:val="18"/>
                <w:szCs w:val="18"/>
                <w:color w:val="0000FF"/>
              </w:rPr>
            </w:pPr>
            <w:hyperlink r:id="rId206">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8440" w:type="dxa"/>
            <w:vAlign w:val="bottom"/>
            <w:tcBorders>
              <w:top w:val="single" w:sz="8" w:color="0000FF"/>
            </w:tcBorders>
            <w:gridSpan w:val="38"/>
          </w:tcPr>
          <w:p>
            <w:pPr>
              <w:spacing w:after="0" w:line="153" w:lineRule="exact"/>
              <w:rPr>
                <w:rFonts w:ascii="Arial" w:cs="Arial" w:eastAsia="Arial" w:hAnsi="Arial"/>
                <w:sz w:val="17"/>
                <w:szCs w:val="17"/>
                <w:color w:val="0000FF"/>
              </w:rPr>
            </w:pPr>
            <w:hyperlink r:id="rId206">
              <w:r>
                <w:rPr>
                  <w:rFonts w:ascii="Arial" w:cs="Arial" w:eastAsia="Arial" w:hAnsi="Arial"/>
                  <w:sz w:val="17"/>
                  <w:szCs w:val="17"/>
                  <w:color w:val="0000FF"/>
                </w:rPr>
                <w:t>Precision Medicines, Inc. (incorporated by reference to Exhibit 10.15 to the Registrant's Registration</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7840" w:type="dxa"/>
            <w:vAlign w:val="bottom"/>
            <w:tcBorders>
              <w:top w:val="single" w:sz="8" w:color="0000FF"/>
            </w:tcBorders>
            <w:gridSpan w:val="17"/>
          </w:tcPr>
          <w:p>
            <w:pPr>
              <w:spacing w:after="0" w:line="166" w:lineRule="exact"/>
              <w:rPr>
                <w:rFonts w:ascii="Arial" w:cs="Arial" w:eastAsia="Arial" w:hAnsi="Arial"/>
                <w:sz w:val="18"/>
                <w:szCs w:val="18"/>
                <w:color w:val="0000FF"/>
              </w:rPr>
            </w:pPr>
            <w:hyperlink r:id="rId206">
              <w:r>
                <w:rPr>
                  <w:rFonts w:ascii="Arial" w:cs="Arial" w:eastAsia="Arial" w:hAnsi="Arial"/>
                  <w:sz w:val="18"/>
                  <w:szCs w:val="18"/>
                  <w:color w:val="0000FF"/>
                </w:rPr>
                <w:t>Statement on Form S-1 (File No. 333-249074) filed on September 25, 2020)</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17"/>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640" w:type="dxa"/>
            <w:vAlign w:val="bottom"/>
            <w:gridSpan w:val="10"/>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60" w:type="dxa"/>
            <w:vAlign w:val="bottom"/>
            <w:tcBorders>
              <w:bottom w:val="single" w:sz="8" w:color="0000FF"/>
            </w:tcBorders>
            <w:gridSpan w:val="39"/>
          </w:tcPr>
          <w:p>
            <w:pPr>
              <w:spacing w:after="0"/>
              <w:rPr>
                <w:rFonts w:ascii="Arial" w:cs="Arial" w:eastAsia="Arial" w:hAnsi="Arial"/>
                <w:sz w:val="18"/>
                <w:szCs w:val="18"/>
                <w:color w:val="0000FF"/>
                <w:w w:val="99"/>
              </w:rPr>
            </w:pPr>
            <w:hyperlink r:id="rId207">
              <w:r>
                <w:rPr>
                  <w:rFonts w:ascii="Arial" w:cs="Arial" w:eastAsia="Arial" w:hAnsi="Arial"/>
                  <w:sz w:val="18"/>
                  <w:szCs w:val="18"/>
                  <w:color w:val="0000FF"/>
                  <w:w w:val="99"/>
                </w:rPr>
                <w:t>Research Collaboration, Option and License Agreement, dated September 11, 2019, by and between Ionis</w:t>
              </w:r>
            </w:hyperlink>
          </w:p>
        </w:tc>
        <w:tc>
          <w:tcPr>
            <w:tcW w:w="15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80" w:type="dxa"/>
            <w:vAlign w:val="bottom"/>
            <w:gridSpan w:val="5"/>
            <w:vMerge w:val="restart"/>
          </w:tcPr>
          <w:p>
            <w:pPr>
              <w:spacing w:after="0"/>
              <w:rPr>
                <w:rFonts w:ascii="Arial" w:cs="Arial" w:eastAsia="Arial" w:hAnsi="Arial"/>
                <w:sz w:val="18"/>
                <w:szCs w:val="18"/>
                <w:color w:val="0000FF"/>
              </w:rPr>
            </w:pPr>
            <w:hyperlink r:id="rId207">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10040" w:type="dxa"/>
            <w:vAlign w:val="bottom"/>
            <w:gridSpan w:val="49"/>
          </w:tcPr>
          <w:p>
            <w:pPr>
              <w:spacing w:after="0" w:line="153" w:lineRule="exact"/>
              <w:rPr>
                <w:rFonts w:ascii="Arial" w:cs="Arial" w:eastAsia="Arial" w:hAnsi="Arial"/>
                <w:sz w:val="17"/>
                <w:szCs w:val="17"/>
                <w:color w:val="0000FF"/>
              </w:rPr>
            </w:pPr>
            <w:hyperlink r:id="rId207">
              <w:r>
                <w:rPr>
                  <w:rFonts w:ascii="Arial" w:cs="Arial" w:eastAsia="Arial" w:hAnsi="Arial"/>
                  <w:sz w:val="17"/>
                  <w:szCs w:val="17"/>
                  <w:color w:val="0000FF"/>
                </w:rPr>
                <w:t>Pharmaceuticals, Inc. and Praxis Precision Medicines, Inc. (incorporated by reference to Exhibit 10.16 to the</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8580" w:type="dxa"/>
            <w:vAlign w:val="bottom"/>
            <w:tcBorders>
              <w:top w:val="single" w:sz="8" w:color="0000FF"/>
            </w:tcBorders>
            <w:gridSpan w:val="45"/>
          </w:tcPr>
          <w:p>
            <w:pPr>
              <w:spacing w:after="0" w:line="166" w:lineRule="exact"/>
              <w:rPr>
                <w:rFonts w:ascii="Arial" w:cs="Arial" w:eastAsia="Arial" w:hAnsi="Arial"/>
                <w:sz w:val="18"/>
                <w:szCs w:val="18"/>
                <w:color w:val="0000FF"/>
              </w:rPr>
            </w:pPr>
            <w:hyperlink r:id="rId207">
              <w:r>
                <w:rPr>
                  <w:rFonts w:ascii="Arial" w:cs="Arial" w:eastAsia="Arial" w:hAnsi="Arial"/>
                  <w:sz w:val="18"/>
                  <w:szCs w:val="18"/>
                  <w:color w:val="0000FF"/>
                </w:rPr>
                <w:t>Registrant's Registration Statement on Form S-1 (File No. 333-249074) filed on September 25, 2020)</w:t>
              </w:r>
            </w:hyperlink>
          </w:p>
        </w:tc>
        <w:tc>
          <w:tcPr>
            <w:tcW w:w="60" w:type="dxa"/>
            <w:vAlign w:val="bottom"/>
            <w:gridSpan w:val="3"/>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40" w:type="dxa"/>
            <w:vAlign w:val="bottom"/>
            <w:tcBorders>
              <w:top w:val="single" w:sz="8" w:color="0000FF"/>
            </w:tcBorders>
            <w:gridSpan w:val="22"/>
          </w:tcPr>
          <w:p>
            <w:pPr>
              <w:spacing w:after="0" w:line="193" w:lineRule="exact"/>
              <w:rPr>
                <w:sz w:val="20"/>
                <w:szCs w:val="20"/>
                <w:color w:val="auto"/>
              </w:rPr>
            </w:pPr>
            <w:r>
              <w:rPr>
                <w:rFonts w:ascii="Arial" w:cs="Arial" w:eastAsia="Arial" w:hAnsi="Arial"/>
                <w:sz w:val="18"/>
                <w:szCs w:val="18"/>
                <w:color w:val="0000FF"/>
                <w:w w:val="99"/>
              </w:rPr>
              <w:t>Sublease, dated May 27, 2021, by and between CBRE, Inc. and Praxis Precision Medicines, Inc., as</w:t>
            </w:r>
          </w:p>
        </w:tc>
        <w:tc>
          <w:tcPr>
            <w:tcW w:w="21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40" w:type="dxa"/>
            <w:vAlign w:val="bottom"/>
            <w:gridSpan w:val="3"/>
            <w:vMerge w:val="restart"/>
          </w:tcPr>
          <w:p>
            <w:pPr>
              <w:spacing w:after="0"/>
              <w:rPr>
                <w:sz w:val="20"/>
                <w:szCs w:val="20"/>
                <w:color w:val="auto"/>
              </w:rPr>
            </w:pPr>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80" w:type="dxa"/>
            <w:vAlign w:val="bottom"/>
            <w:tcBorders>
              <w:top w:val="single" w:sz="8" w:color="0000FF"/>
            </w:tcBorders>
            <w:gridSpan w:val="19"/>
          </w:tcPr>
          <w:p>
            <w:pPr>
              <w:spacing w:after="0" w:line="160" w:lineRule="exact"/>
              <w:rPr>
                <w:sz w:val="20"/>
                <w:szCs w:val="20"/>
                <w:color w:val="auto"/>
              </w:rPr>
            </w:pPr>
            <w:r>
              <w:rPr>
                <w:rFonts w:ascii="Arial" w:cs="Arial" w:eastAsia="Arial" w:hAnsi="Arial"/>
                <w:sz w:val="18"/>
                <w:szCs w:val="18"/>
                <w:color w:val="0000FF"/>
                <w:w w:val="98"/>
              </w:rPr>
              <w:t>amended on September 23, 2025 and further supplemented by a license agreement by and between</w:t>
            </w:r>
          </w:p>
        </w:tc>
        <w:tc>
          <w:tcPr>
            <w:tcW w:w="40" w:type="dxa"/>
            <w:vAlign w:val="bottom"/>
            <w:gridSpan w:val="2"/>
          </w:tcPr>
          <w:p>
            <w:pPr>
              <w:spacing w:after="0"/>
              <w:rPr>
                <w:sz w:val="13"/>
                <w:szCs w:val="13"/>
                <w:color w:val="auto"/>
              </w:rPr>
            </w:pPr>
          </w:p>
        </w:tc>
        <w:tc>
          <w:tcPr>
            <w:tcW w:w="2120" w:type="dxa"/>
            <w:vAlign w:val="bottom"/>
            <w:gridSpan w:val="28"/>
          </w:tcPr>
          <w:p>
            <w:pPr>
              <w:jc w:val="right"/>
              <w:ind w:right="1460"/>
              <w:spacing w:after="0" w:line="160" w:lineRule="exact"/>
              <w:rPr>
                <w:sz w:val="20"/>
                <w:szCs w:val="20"/>
                <w:color w:val="auto"/>
              </w:rPr>
            </w:pPr>
            <w:r>
              <w:rPr>
                <w:rFonts w:ascii="Arial" w:cs="Arial" w:eastAsia="Arial" w:hAnsi="Arial"/>
                <w:sz w:val="18"/>
                <w:szCs w:val="18"/>
                <w:color w:val="0000FF"/>
              </w:rPr>
              <w:t>99 High</w:t>
            </w: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40" w:type="dxa"/>
            <w:vAlign w:val="bottom"/>
            <w:tcBorders>
              <w:bottom w:val="single" w:sz="8" w:color="0000FF"/>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80" w:type="dxa"/>
            <w:vAlign w:val="bottom"/>
            <w:tcBorders>
              <w:top w:val="single" w:sz="8" w:color="0000FF"/>
              <w:bottom w:val="single" w:sz="8" w:color="0000FF"/>
            </w:tcBorders>
            <w:gridSpan w:val="14"/>
          </w:tcPr>
          <w:p>
            <w:pPr>
              <w:spacing w:after="0" w:line="166" w:lineRule="exact"/>
              <w:rPr>
                <w:sz w:val="20"/>
                <w:szCs w:val="20"/>
                <w:color w:val="auto"/>
              </w:rPr>
            </w:pPr>
            <w:r>
              <w:rPr>
                <w:rFonts w:ascii="Arial" w:cs="Arial" w:eastAsia="Arial" w:hAnsi="Arial"/>
                <w:sz w:val="18"/>
                <w:szCs w:val="18"/>
                <w:color w:val="0000FF"/>
                <w:w w:val="98"/>
              </w:rPr>
              <w:t>Street Owner LLC and Praxis Precision Medicines, Inc. dated September 25, 2025</w:t>
            </w:r>
          </w:p>
        </w:tc>
        <w:tc>
          <w:tcPr>
            <w:tcW w:w="2160" w:type="dxa"/>
            <w:vAlign w:val="bottom"/>
            <w:tcBorders>
              <w:top w:val="single" w:sz="8" w:color="0000FF"/>
            </w:tcBorders>
            <w:gridSpan w:val="34"/>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0000FF"/>
                <w:w w:val="89"/>
              </w:rPr>
              <w:t>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49"/>
          </w:tcPr>
          <w:p>
            <w:pPr>
              <w:spacing w:after="0"/>
              <w:rPr>
                <w:rFonts w:ascii="Arial" w:cs="Arial" w:eastAsia="Arial" w:hAnsi="Arial"/>
                <w:sz w:val="18"/>
                <w:szCs w:val="18"/>
                <w:color w:val="0000FF"/>
              </w:rPr>
            </w:pPr>
            <w:hyperlink r:id="rId208">
              <w:r>
                <w:rPr>
                  <w:rFonts w:ascii="Arial" w:cs="Arial" w:eastAsia="Arial" w:hAnsi="Arial"/>
                  <w:sz w:val="18"/>
                  <w:szCs w:val="18"/>
                  <w:color w:val="0000FF"/>
                </w:rPr>
                <w:t>Praxis Precision Medicines, Inc. Insider Trading Policy (incorporated by reference to Exhibit 19 to the</w:t>
              </w:r>
            </w:hyperlink>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00" w:type="dxa"/>
            <w:vAlign w:val="bottom"/>
            <w:tcBorders>
              <w:bottom w:val="single" w:sz="8" w:color="0000FF"/>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6"/>
          </w:tcPr>
          <w:p>
            <w:pPr>
              <w:spacing w:after="0" w:line="140" w:lineRule="exact"/>
              <w:rPr>
                <w:rFonts w:ascii="Arial" w:cs="Arial" w:eastAsia="Arial" w:hAnsi="Arial"/>
                <w:sz w:val="16"/>
                <w:szCs w:val="16"/>
                <w:color w:val="0000FF"/>
              </w:rPr>
            </w:pPr>
            <w:hyperlink r:id="rId208">
              <w:r>
                <w:rPr>
                  <w:rFonts w:ascii="Arial" w:cs="Arial" w:eastAsia="Arial" w:hAnsi="Arial"/>
                  <w:sz w:val="16"/>
                  <w:szCs w:val="16"/>
                  <w:color w:val="0000FF"/>
                </w:rPr>
                <w:t>Registrant's Annual Report on Form 10-K (File No. 001-39620) filed on February 28, 2025)</w:t>
              </w:r>
            </w:hyperlink>
          </w:p>
        </w:tc>
        <w:tc>
          <w:tcPr>
            <w:tcW w:w="800" w:type="dxa"/>
            <w:vAlign w:val="bottom"/>
            <w:tcBorders>
              <w:top w:val="single" w:sz="8" w:color="0000FF"/>
            </w:tcBorders>
            <w:gridSpan w:val="5"/>
          </w:tcPr>
          <w:p>
            <w:pPr>
              <w:spacing w:after="0"/>
              <w:rPr>
                <w:sz w:val="13"/>
                <w:szCs w:val="13"/>
                <w:color w:val="auto"/>
              </w:rPr>
            </w:pPr>
          </w:p>
        </w:tc>
        <w:tc>
          <w:tcPr>
            <w:tcW w:w="212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0000FF"/>
                <w:w w:val="95"/>
              </w:rPr>
              <w:t>21.</w:t>
            </w:r>
            <w:r>
              <w:rPr>
                <w:rFonts w:ascii="Arial" w:cs="Arial" w:eastAsia="Arial" w:hAnsi="Arial"/>
                <w:sz w:val="18"/>
                <w:szCs w:val="18"/>
                <w:u w:val="single" w:color="auto"/>
                <w:color w:val="0000FF"/>
                <w:w w:val="95"/>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40" w:type="dxa"/>
            <w:vAlign w:val="bottom"/>
            <w:gridSpan w:val="49"/>
          </w:tcPr>
          <w:p>
            <w:pPr>
              <w:spacing w:after="0"/>
              <w:rPr>
                <w:sz w:val="20"/>
                <w:szCs w:val="20"/>
                <w:color w:val="auto"/>
              </w:rPr>
            </w:pPr>
            <w:r>
              <w:rPr>
                <w:rFonts w:ascii="Arial" w:cs="Arial" w:eastAsia="Arial" w:hAnsi="Arial"/>
                <w:sz w:val="18"/>
                <w:szCs w:val="18"/>
                <w:color w:val="0000FF"/>
              </w:rPr>
              <w:t>Subsidiaries of the Registrant</w:t>
            </w:r>
          </w:p>
        </w:tc>
        <w:tc>
          <w:tcPr>
            <w:tcW w:w="0" w:type="dxa"/>
            <w:vAlign w:val="bottom"/>
          </w:tcPr>
          <w:p>
            <w:pPr>
              <w:spacing w:after="0"/>
              <w:rPr>
                <w:sz w:val="1"/>
                <w:szCs w:val="1"/>
                <w:color w:val="auto"/>
              </w:rPr>
            </w:pPr>
          </w:p>
        </w:tc>
      </w:tr>
      <w:tr>
        <w:trPr>
          <w:trHeight w:val="875"/>
        </w:trPr>
        <w:tc>
          <w:tcPr>
            <w:tcW w:w="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tcBorders>
              <w:top w:val="single" w:sz="8" w:color="0000FF"/>
            </w:tcBorders>
            <w:gridSpan w:val="2"/>
          </w:tcPr>
          <w:p>
            <w:pPr>
              <w:spacing w:after="0"/>
              <w:rPr>
                <w:sz w:val="24"/>
                <w:szCs w:val="24"/>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color w:val="auto"/>
              </w:rPr>
              <w:t>145</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sz w:val="20"/>
                <w:szCs w:val="20"/>
                <w:color w:val="auto"/>
              </w:rPr>
            </w:pPr>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1*</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0" w:type="dxa"/>
            <w:vAlign w:val="bottom"/>
            <w:gridSpan w:val="10"/>
          </w:tcPr>
          <w:p>
            <w:pPr>
              <w:spacing w:after="0"/>
              <w:rPr>
                <w:sz w:val="20"/>
                <w:szCs w:val="20"/>
                <w:color w:val="auto"/>
              </w:rPr>
            </w:pPr>
            <w:r>
              <w:rPr>
                <w:rFonts w:ascii="Arial" w:cs="Arial" w:eastAsia="Arial" w:hAnsi="Arial"/>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43"/>
        </w:trPr>
        <w:tc>
          <w:tcPr>
            <w:tcW w:w="4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5"/>
              </w:rPr>
              <w:t>24.1*</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Power of Attorney (included on signature page hereto)</w:t>
            </w:r>
          </w:p>
        </w:tc>
        <w:tc>
          <w:tcPr>
            <w:tcW w:w="23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20" w:type="dxa"/>
            <w:vAlign w:val="bottom"/>
            <w:gridSpan w:val="2"/>
            <w:vMerge w:val="restart"/>
          </w:tcPr>
          <w:p>
            <w:pPr>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0" w:type="dxa"/>
            <w:vAlign w:val="bottom"/>
            <w:gridSpan w:val="10"/>
          </w:tcPr>
          <w:p>
            <w:pPr>
              <w:spacing w:after="0" w:line="190"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3"/>
        </w:trPr>
        <w:tc>
          <w:tcPr>
            <w:tcW w:w="4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320" w:type="dxa"/>
            <w:vAlign w:val="bottom"/>
            <w:tcBorders>
              <w:top w:val="single" w:sz="8" w:color="0000FF"/>
            </w:tcBorders>
            <w:gridSpan w:val="6"/>
          </w:tcPr>
          <w:p>
            <w:pPr>
              <w:spacing w:after="0" w:line="140" w:lineRule="exact"/>
              <w:rPr>
                <w:sz w:val="20"/>
                <w:szCs w:val="20"/>
                <w:color w:val="auto"/>
              </w:rPr>
            </w:pPr>
            <w:r>
              <w:rPr>
                <w:rFonts w:ascii="Arial" w:cs="Arial" w:eastAsia="Arial" w:hAnsi="Arial"/>
                <w:sz w:val="16"/>
                <w:szCs w:val="16"/>
                <w:color w:val="0000FF"/>
              </w:rPr>
              <w:t>Exchange Act of 1934, as Adopted Pursuant to Section 302 of the Sarbanes-Oxley Act of 2002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0" w:type="dxa"/>
            <w:vAlign w:val="bottom"/>
            <w:gridSpan w:val="2"/>
            <w:vMerge w:val="restart"/>
          </w:tcPr>
          <w:p>
            <w:pPr>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0" w:type="dxa"/>
            <w:vAlign w:val="bottom"/>
            <w:gridSpan w:val="10"/>
          </w:tcPr>
          <w:p>
            <w:pPr>
              <w:spacing w:after="0" w:line="200"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3"/>
        </w:trPr>
        <w:tc>
          <w:tcPr>
            <w:tcW w:w="4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60" w:type="dxa"/>
            <w:vAlign w:val="bottom"/>
            <w:tcBorders>
              <w:top w:val="single" w:sz="8" w:color="0000FF"/>
            </w:tcBorders>
            <w:gridSpan w:val="5"/>
          </w:tcPr>
          <w:p>
            <w:pPr>
              <w:spacing w:after="0" w:line="140" w:lineRule="exact"/>
              <w:rPr>
                <w:sz w:val="20"/>
                <w:szCs w:val="20"/>
                <w:color w:val="auto"/>
              </w:rPr>
            </w:pPr>
            <w:r>
              <w:rPr>
                <w:rFonts w:ascii="Arial" w:cs="Arial" w:eastAsia="Arial" w:hAnsi="Arial"/>
                <w:sz w:val="16"/>
                <w:szCs w:val="16"/>
                <w:color w:val="0000FF"/>
              </w:rPr>
              <w:t>Exchange Act of 1934, as Adopted Pursuant to Section 302 of the Sarbanes-Oxley Act of 2002</w:t>
            </w:r>
          </w:p>
        </w:tc>
        <w:tc>
          <w:tcPr>
            <w:tcW w:w="1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80" w:type="dxa"/>
            <w:vAlign w:val="bottom"/>
            <w:gridSpan w:val="4"/>
            <w:vMerge w:val="restart"/>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8600" w:type="dxa"/>
            <w:vAlign w:val="bottom"/>
            <w:gridSpan w:val="10"/>
          </w:tcPr>
          <w:p>
            <w:pPr>
              <w:spacing w:after="0" w:line="200" w:lineRule="exact"/>
              <w:rPr>
                <w:sz w:val="20"/>
                <w:szCs w:val="20"/>
                <w:color w:val="auto"/>
              </w:rPr>
            </w:pPr>
            <w:r>
              <w:rPr>
                <w:rFonts w:ascii="Arial" w:cs="Arial" w:eastAsia="Arial" w:hAnsi="Arial"/>
                <w:sz w:val="18"/>
                <w:szCs w:val="18"/>
                <w:color w:val="0000FF"/>
                <w:w w:val="98"/>
              </w:rPr>
              <w:t>Certification of Principal Executive Officer and Principal Financial Officer Pursuant to 18 U.S.C. Section 1350,</w:t>
            </w:r>
          </w:p>
        </w:tc>
        <w:tc>
          <w:tcPr>
            <w:tcW w:w="0" w:type="dxa"/>
            <w:vAlign w:val="bottom"/>
          </w:tcPr>
          <w:p>
            <w:pPr>
              <w:spacing w:after="0"/>
              <w:rPr>
                <w:sz w:val="1"/>
                <w:szCs w:val="1"/>
                <w:color w:val="auto"/>
              </w:rPr>
            </w:pPr>
          </w:p>
        </w:tc>
      </w:tr>
      <w:tr>
        <w:trPr>
          <w:trHeight w:val="173"/>
        </w:trPr>
        <w:tc>
          <w:tcPr>
            <w:tcW w:w="1180" w:type="dxa"/>
            <w:vAlign w:val="bottom"/>
            <w:gridSpan w:val="4"/>
            <w:vMerge w:val="continue"/>
          </w:tcPr>
          <w:p>
            <w:pPr>
              <w:spacing w:after="0"/>
              <w:rPr>
                <w:sz w:val="15"/>
                <w:szCs w:val="15"/>
                <w:color w:val="auto"/>
              </w:rPr>
            </w:pPr>
          </w:p>
        </w:tc>
        <w:tc>
          <w:tcPr>
            <w:tcW w:w="5620" w:type="dxa"/>
            <w:vAlign w:val="bottom"/>
            <w:tcBorders>
              <w:top w:val="single" w:sz="8" w:color="0000FF"/>
              <w:bottom w:val="single" w:sz="8" w:color="0000FF"/>
            </w:tcBorders>
            <w:gridSpan w:val="2"/>
          </w:tcPr>
          <w:p>
            <w:pPr>
              <w:spacing w:after="0" w:line="153" w:lineRule="exact"/>
              <w:rPr>
                <w:sz w:val="20"/>
                <w:szCs w:val="20"/>
                <w:color w:val="auto"/>
              </w:rPr>
            </w:pPr>
            <w:r>
              <w:rPr>
                <w:rFonts w:ascii="Arial" w:cs="Arial" w:eastAsia="Arial" w:hAnsi="Arial"/>
                <w:sz w:val="17"/>
                <w:szCs w:val="17"/>
                <w:color w:val="0000FF"/>
              </w:rPr>
              <w:t>as Adopted Pursuant to Section 906 of the Sarbanes-Oxley Act of 2002</w:t>
            </w:r>
          </w:p>
        </w:tc>
        <w:tc>
          <w:tcPr>
            <w:tcW w:w="296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8600" w:type="dxa"/>
            <w:vAlign w:val="bottom"/>
            <w:gridSpan w:val="10"/>
          </w:tcPr>
          <w:p>
            <w:pPr>
              <w:spacing w:after="0" w:line="200" w:lineRule="exact"/>
              <w:rPr>
                <w:rFonts w:ascii="Arial" w:cs="Arial" w:eastAsia="Arial" w:hAnsi="Arial"/>
                <w:sz w:val="18"/>
                <w:szCs w:val="18"/>
                <w:color w:val="0000FF"/>
                <w:w w:val="98"/>
              </w:rPr>
            </w:pPr>
            <w:hyperlink r:id="rId211">
              <w:r>
                <w:rPr>
                  <w:rFonts w:ascii="Arial" w:cs="Arial" w:eastAsia="Arial" w:hAnsi="Arial"/>
                  <w:sz w:val="18"/>
                  <w:szCs w:val="18"/>
                  <w:color w:val="0000FF"/>
                  <w:w w:val="98"/>
                </w:rPr>
                <w:t>Praxis Precision Medicines, Inc. Policy for Recovery of Erroneously Awarded Compensation (incorporated by</w:t>
              </w:r>
            </w:hyperlink>
          </w:p>
        </w:tc>
        <w:tc>
          <w:tcPr>
            <w:tcW w:w="0" w:type="dxa"/>
            <w:vAlign w:val="bottom"/>
          </w:tcPr>
          <w:p>
            <w:pPr>
              <w:spacing w:after="0"/>
              <w:rPr>
                <w:sz w:val="1"/>
                <w:szCs w:val="1"/>
                <w:color w:val="auto"/>
              </w:rPr>
            </w:pPr>
          </w:p>
        </w:tc>
      </w:tr>
      <w:tr>
        <w:trPr>
          <w:trHeight w:val="153"/>
        </w:trPr>
        <w:tc>
          <w:tcPr>
            <w:tcW w:w="200" w:type="dxa"/>
            <w:vAlign w:val="bottom"/>
            <w:vMerge w:val="restart"/>
          </w:tcPr>
          <w:p>
            <w:pPr>
              <w:spacing w:after="0"/>
              <w:rPr>
                <w:rFonts w:ascii="Arial" w:cs="Arial" w:eastAsia="Arial" w:hAnsi="Arial"/>
                <w:sz w:val="18"/>
                <w:szCs w:val="18"/>
                <w:color w:val="0000FF"/>
                <w:w w:val="89"/>
              </w:rPr>
            </w:pPr>
            <w:hyperlink r:id="rId211">
              <w:r>
                <w:rPr>
                  <w:rFonts w:ascii="Arial" w:cs="Arial" w:eastAsia="Arial" w:hAnsi="Arial"/>
                  <w:sz w:val="18"/>
                  <w:szCs w:val="18"/>
                  <w:color w:val="0000FF"/>
                  <w:w w:val="89"/>
                </w:rPr>
                <w:t>97</w:t>
              </w:r>
            </w:hyperlink>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560" w:type="dxa"/>
            <w:vAlign w:val="bottom"/>
            <w:tcBorders>
              <w:top w:val="single" w:sz="8" w:color="0000FF"/>
            </w:tcBorders>
            <w:gridSpan w:val="8"/>
          </w:tcPr>
          <w:p>
            <w:pPr>
              <w:spacing w:after="0" w:line="153" w:lineRule="exact"/>
              <w:rPr>
                <w:rFonts w:ascii="Arial" w:cs="Arial" w:eastAsia="Arial" w:hAnsi="Arial"/>
                <w:sz w:val="17"/>
                <w:szCs w:val="17"/>
                <w:color w:val="0000FF"/>
              </w:rPr>
            </w:pPr>
            <w:hyperlink r:id="rId211">
              <w:r>
                <w:rPr>
                  <w:rFonts w:ascii="Arial" w:cs="Arial" w:eastAsia="Arial" w:hAnsi="Arial"/>
                  <w:sz w:val="17"/>
                  <w:szCs w:val="17"/>
                  <w:color w:val="0000FF"/>
                </w:rPr>
                <w:t>reference to Exhibit 97 to the Registrant's Annual Report on Form 10-K (File No. 001-39620) filed on March</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0" w:type="dxa"/>
            <w:vAlign w:val="bottom"/>
            <w:tcBorders>
              <w:bottom w:val="single" w:sz="8" w:color="0000FF"/>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Borders>
              <w:top w:val="single" w:sz="8" w:color="0000FF"/>
              <w:bottom w:val="single" w:sz="8" w:color="0000FF"/>
            </w:tcBorders>
          </w:tcPr>
          <w:p>
            <w:pPr>
              <w:spacing w:after="0" w:line="166" w:lineRule="exact"/>
              <w:rPr>
                <w:rFonts w:ascii="Arial" w:cs="Arial" w:eastAsia="Arial" w:hAnsi="Arial"/>
                <w:sz w:val="18"/>
                <w:szCs w:val="18"/>
                <w:color w:val="0000FF"/>
                <w:w w:val="96"/>
              </w:rPr>
            </w:pPr>
            <w:hyperlink r:id="rId211">
              <w:r>
                <w:rPr>
                  <w:rFonts w:ascii="Arial" w:cs="Arial" w:eastAsia="Arial" w:hAnsi="Arial"/>
                  <w:sz w:val="18"/>
                  <w:szCs w:val="18"/>
                  <w:color w:val="0000FF"/>
                  <w:w w:val="96"/>
                </w:rPr>
                <w:t>5, 2024)</w:t>
              </w:r>
            </w:hyperlink>
          </w:p>
        </w:tc>
        <w:tc>
          <w:tcPr>
            <w:tcW w:w="49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860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6"/>
        </w:trPr>
        <w:tc>
          <w:tcPr>
            <w:tcW w:w="11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6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6"/>
        </w:trPr>
        <w:tc>
          <w:tcPr>
            <w:tcW w:w="11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6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6"/>
        </w:trPr>
        <w:tc>
          <w:tcPr>
            <w:tcW w:w="11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86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6"/>
        </w:trPr>
        <w:tc>
          <w:tcPr>
            <w:tcW w:w="11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6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6"/>
        </w:trPr>
        <w:tc>
          <w:tcPr>
            <w:tcW w:w="11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86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7524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373" w:lineRule="exact"/>
        <w:rPr>
          <w:sz w:val="20"/>
          <w:szCs w:val="20"/>
          <w:color w:val="auto"/>
        </w:rPr>
      </w:pPr>
    </w:p>
    <w:p>
      <w:pPr>
        <w:ind w:left="820" w:hanging="796"/>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certifications furnished in Exhibit 32.1 hereto are deemed to accompany this Annual Report on Form 10-K</w:t>
      </w:r>
    </w:p>
    <w:p>
      <w:pPr>
        <w:ind w:left="820" w:right="459" w:hanging="796"/>
        <w:spacing w:after="0" w:line="217"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7" w:lineRule="exact"/>
        <w:rPr>
          <w:sz w:val="20"/>
          <w:szCs w:val="20"/>
          <w:color w:val="auto"/>
        </w:rPr>
      </w:pPr>
    </w:p>
    <w:p>
      <w:pPr>
        <w:ind w:left="820" w:hanging="796"/>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6" w:lineRule="exact"/>
        <w:rPr>
          <w:sz w:val="20"/>
          <w:szCs w:val="20"/>
          <w:color w:val="auto"/>
        </w:rPr>
      </w:pPr>
    </w:p>
    <w:p>
      <w:pPr>
        <w:ind w:left="820" w:right="639" w:hanging="796"/>
        <w:spacing w:after="0" w:line="231" w:lineRule="auto"/>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in accordance with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327" w:lineRule="exact"/>
        <w:rPr>
          <w:sz w:val="20"/>
          <w:szCs w:val="20"/>
          <w:color w:val="auto"/>
        </w:rPr>
      </w:pPr>
    </w:p>
    <w:p>
      <w:pPr>
        <w:ind w:firstLine="439"/>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PRAXIS PRECISION MEDICINES, INC.</w:t>
      </w:r>
    </w:p>
    <w:p>
      <w:pPr>
        <w:spacing w:after="0" w:line="75" w:lineRule="exact"/>
        <w:rPr>
          <w:sz w:val="20"/>
          <w:szCs w:val="20"/>
          <w:color w:val="auto"/>
        </w:rPr>
      </w:pPr>
    </w:p>
    <w:p>
      <w:pPr>
        <w:ind w:left="20"/>
        <w:spacing w:after="0"/>
        <w:tabs>
          <w:tab w:leader="none" w:pos="6460" w:val="left"/>
          <w:tab w:leader="none" w:pos="7040" w:val="left"/>
        </w:tabs>
        <w:rPr>
          <w:sz w:val="20"/>
          <w:szCs w:val="20"/>
          <w:color w:val="auto"/>
        </w:rPr>
      </w:pPr>
      <w:r>
        <w:rPr>
          <w:rFonts w:ascii="Arial" w:cs="Arial" w:eastAsia="Arial" w:hAnsi="Arial"/>
          <w:sz w:val="18"/>
          <w:szCs w:val="18"/>
          <w:color w:val="auto"/>
        </w:rPr>
        <w:t>Date: February 19,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14605</wp:posOffset>
            </wp:positionV>
            <wp:extent cx="26371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263715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8"/>
          <w:szCs w:val="18"/>
          <w:color w:val="auto"/>
        </w:rPr>
        <w:t>Marcio Souza</w:t>
      </w:r>
    </w:p>
    <w:p>
      <w:pPr>
        <w:ind w:left="7060"/>
        <w:spacing w:after="0"/>
        <w:rPr>
          <w:sz w:val="20"/>
          <w:szCs w:val="20"/>
          <w:color w:val="auto"/>
        </w:rPr>
      </w:pPr>
      <w:r>
        <w:rPr>
          <w:rFonts w:ascii="Arial" w:cs="Arial" w:eastAsia="Arial" w:hAnsi="Arial"/>
          <w:sz w:val="18"/>
          <w:szCs w:val="18"/>
          <w:color w:val="auto"/>
        </w:rPr>
        <w:t>Chief Executive Officer</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1" w:lineRule="exact"/>
        <w:rPr>
          <w:sz w:val="20"/>
          <w:szCs w:val="20"/>
          <w:color w:val="auto"/>
        </w:rPr>
      </w:pPr>
    </w:p>
    <w:p>
      <w:pPr>
        <w:ind w:right="20" w:firstLine="439"/>
        <w:spacing w:after="0" w:line="251" w:lineRule="auto"/>
        <w:rPr>
          <w:sz w:val="20"/>
          <w:szCs w:val="20"/>
          <w:color w:val="auto"/>
        </w:rPr>
      </w:pPr>
      <w:r>
        <w:rPr>
          <w:rFonts w:ascii="Arial" w:cs="Arial" w:eastAsia="Arial" w:hAnsi="Arial"/>
          <w:sz w:val="18"/>
          <w:szCs w:val="18"/>
          <w:color w:val="auto"/>
        </w:rPr>
        <w:t>Each person whose individual signature appears below hereby authorizes and appoints Marcio Souza and Timothy Kelly,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300" w:firstLine="439"/>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116"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9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22225</wp:posOffset>
            </wp:positionV>
            <wp:extent cx="19697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131"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26"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Marcio Souza</w:t>
      </w:r>
    </w:p>
    <w:p>
      <w:pPr>
        <w:spacing w:after="0" w:line="1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26"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Timothy Kelly</w:t>
      </w:r>
    </w:p>
    <w:p>
      <w:pPr>
        <w:spacing w:after="0" w:line="1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Lauren Mastrocola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Lauren Mastrocola</w:t>
      </w:r>
    </w:p>
    <w:p>
      <w:pPr>
        <w:spacing w:after="0" w:line="152"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Dean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Dean Mitchell</w:t>
      </w:r>
    </w:p>
    <w:p>
      <w:pPr>
        <w:spacing w:after="0" w:line="152"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Stuart Arbuckle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Stuart Arbuckle</w:t>
      </w:r>
    </w:p>
    <w:p>
      <w:pPr>
        <w:spacing w:after="0" w:line="152"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Jeffrey Chodakewitz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7"/>
          <w:szCs w:val="17"/>
          <w:color w:val="auto"/>
        </w:rPr>
        <w:t>Jeffrey Chodakewitz, M.D.</w:t>
      </w:r>
    </w:p>
    <w:p>
      <w:pPr>
        <w:spacing w:after="0" w:line="164"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Merit Cudkowicz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Merit Cudkowicz, M.D.</w:t>
      </w:r>
    </w:p>
    <w:p>
      <w:pPr>
        <w:spacing w:after="0" w:line="1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Jill DeSimone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Jill DeSimone</w:t>
      </w:r>
    </w:p>
    <w:p>
      <w:pPr>
        <w:spacing w:after="0" w:line="152"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Jeffrey Kindler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Jeffrey Kindler</w:t>
      </w:r>
    </w:p>
    <w:p>
      <w:pPr>
        <w:spacing w:after="0" w:line="152"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Gregory Norden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Gregory Norden</w:t>
      </w:r>
    </w:p>
    <w:p>
      <w:pPr>
        <w:spacing w:after="0" w:line="152"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/s/ William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14605</wp:posOffset>
            </wp:positionV>
            <wp:extent cx="19697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1969770" cy="8255"/>
                    </a:xfrm>
                    <a:prstGeom prst="rect">
                      <a:avLst/>
                    </a:prstGeom>
                    <a:noFill/>
                  </pic:spPr>
                </pic:pic>
              </a:graphicData>
            </a:graphic>
          </wp:anchor>
        </w:drawing>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William Young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04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rPr>
              <w:t>Date</w:t>
            </w:r>
          </w:p>
        </w:tc>
      </w:tr>
      <w:tr>
        <w:trPr>
          <w:trHeight w:val="303"/>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Chief Executive Officer and Director (Principal Executive Officer)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626"/>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Chief Financial Officer (Principal Financial Officer)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572"/>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Principal Accounting Officer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612"/>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Chairman of the Board</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626"/>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626"/>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626"/>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626"/>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612"/>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626"/>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r>
        <w:trPr>
          <w:trHeight w:val="626"/>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Director</w:t>
            </w:r>
          </w:p>
        </w:tc>
        <w:tc>
          <w:tcPr>
            <w:tcW w:w="2040" w:type="dxa"/>
            <w:vAlign w:val="bottom"/>
          </w:tcPr>
          <w:p>
            <w:pPr>
              <w:jc w:val="center"/>
              <w:ind w:left="73"/>
              <w:spacing w:after="0"/>
              <w:rPr>
                <w:sz w:val="20"/>
                <w:szCs w:val="20"/>
                <w:color w:val="auto"/>
              </w:rPr>
            </w:pPr>
            <w:r>
              <w:rPr>
                <w:rFonts w:ascii="Arial" w:cs="Arial" w:eastAsia="Arial" w:hAnsi="Arial"/>
                <w:sz w:val="18"/>
                <w:szCs w:val="18"/>
                <w:color w:val="auto"/>
                <w:w w:val="97"/>
              </w:rPr>
              <w:t>February 19,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149</w:t>
      </w:r>
    </w:p>
    <w:p>
      <w:pPr>
        <w:sectPr>
          <w:pgSz w:w="11900" w:h="16838" w:orient="portrait"/>
          <w:cols w:equalWidth="0" w:num="2">
            <w:col w:w="3040" w:space="600"/>
            <w:col w:w="7700"/>
          </w:cols>
          <w:pgMar w:left="320" w:top="116" w:right="2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AWARD AGREEMENT FOR EMPLOYEES</w:t>
      </w:r>
    </w:p>
    <w:p>
      <w:pPr>
        <w:spacing w:after="0" w:line="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UNDER THE PRAXIS PRECISION MEDICINES, INC.</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2020 STOCK OPTION AND INCENTIVE PLAN</w:t>
      </w: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15240</wp:posOffset>
            </wp:positionV>
            <wp:extent cx="45986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4598670" cy="825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15240</wp:posOffset>
            </wp:positionV>
            <wp:extent cx="22993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15240</wp:posOffset>
            </wp:positionV>
            <wp:extent cx="22993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spacing w:after="0" w:line="328" w:lineRule="exact"/>
        <w:rPr>
          <w:sz w:val="20"/>
          <w:szCs w:val="20"/>
          <w:color w:val="auto"/>
        </w:rPr>
      </w:pPr>
    </w:p>
    <w:p>
      <w:pPr>
        <w:jc w:val="both"/>
        <w:ind w:firstLine="639"/>
        <w:spacing w:after="0" w:line="258" w:lineRule="auto"/>
        <w:rPr>
          <w:sz w:val="20"/>
          <w:szCs w:val="20"/>
          <w:color w:val="auto"/>
        </w:rPr>
      </w:pPr>
      <w:r>
        <w:rPr>
          <w:rFonts w:ascii="Times New Roman" w:cs="Times New Roman" w:eastAsia="Times New Roman" w:hAnsi="Times New Roman"/>
          <w:sz w:val="18"/>
          <w:szCs w:val="18"/>
          <w:color w:val="auto"/>
        </w:rPr>
        <w:t>Pursuant to the Praxis Precision Medicines, Inc. 2020 Stock Option and Incentive Plan, as amended through the date hereof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Praxis Precision Medicines,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grants an award (an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of the number of performance-based Restricted Stock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listed above to the Grantee named above. Each PSU shall relate to a number of shares of Common Stock, par value $0.0001 per share (the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of the Company as determined in accordance with this agreement, including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640" w:hanging="634"/>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This Award may not be sold, transferred, pledged, assigned or otherwise encumbered or disposed of by the Grantee, and any shares of Stock issuable with respect to the Award may not be sold, transferred, pledged, assigned or otherwise encumbered or disposed of until (i) the PSUs have vested as provided in this Agreement and (ii) shares of Stock have been issued to the Grantee in accordance with the terms of the Plan and this Agreement.</w:t>
      </w:r>
    </w:p>
    <w:p>
      <w:pPr>
        <w:spacing w:after="0" w:line="163" w:lineRule="exact"/>
        <w:rPr>
          <w:sz w:val="20"/>
          <w:szCs w:val="20"/>
          <w:color w:val="auto"/>
        </w:rPr>
      </w:pPr>
    </w:p>
    <w:p>
      <w:pPr>
        <w:ind w:left="640" w:hanging="634"/>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PSUs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45"/>
        <w:spacing w:after="0" w:line="217" w:lineRule="auto"/>
        <w:tabs>
          <w:tab w:leader="none" w:pos="127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Vesting</w:t>
      </w:r>
      <w:r>
        <w:rPr>
          <w:rFonts w:ascii="Times New Roman" w:cs="Times New Roman" w:eastAsia="Times New Roman" w:hAnsi="Times New Roman"/>
          <w:sz w:val="18"/>
          <w:szCs w:val="18"/>
          <w:color w:val="auto"/>
        </w:rPr>
        <w:t xml:space="preserve">. The PSUs shall be eligible to be earned based on the Company’s achievement of the performance metrics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during the Performance Period (as defined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Subject to the terms of Paragraphs 2 and 3, earned PSUs shall vest on the date (the “</w:t>
      </w:r>
      <w:r>
        <w:rPr>
          <w:rFonts w:ascii="Times New Roman" w:cs="Times New Roman" w:eastAsia="Times New Roman" w:hAnsi="Times New Roman"/>
          <w:sz w:val="18"/>
          <w:szCs w:val="18"/>
          <w:b w:val="1"/>
          <w:bCs w:val="1"/>
          <w:i w:val="1"/>
          <w:iCs w:val="1"/>
          <w:color w:val="auto"/>
        </w:rPr>
        <w:t>Vesting Date</w:t>
      </w:r>
      <w:r>
        <w:rPr>
          <w:rFonts w:ascii="Times New Roman" w:cs="Times New Roman" w:eastAsia="Times New Roman" w:hAnsi="Times New Roman"/>
          <w:sz w:val="18"/>
          <w:szCs w:val="18"/>
          <w:color w:val="auto"/>
        </w:rPr>
        <w:t xml:space="preserve">”) that the Administrator determines the Achievement of a Milestone (as such terms are defined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as applicable, so long as the Grantee continues to have a Service Relationship through such Vesting Date. Any PSUs that the Administrator determines were not earned during the Performance Period will upon such determination automatically and without notice terminate and be forfeited, and neither the Grantee nor any of his or her successors, heirs, assigns, or personal representatives will thereafter have any further rights or interests in such PSUs.</w:t>
      </w:r>
    </w:p>
    <w:p>
      <w:pPr>
        <w:spacing w:after="0" w:line="155" w:lineRule="exact"/>
        <w:rPr>
          <w:rFonts w:ascii="Times New Roman" w:cs="Times New Roman" w:eastAsia="Times New Roman" w:hAnsi="Times New Roman"/>
          <w:sz w:val="18"/>
          <w:szCs w:val="18"/>
          <w:color w:val="auto"/>
        </w:rPr>
      </w:pPr>
    </w:p>
    <w:p>
      <w:pPr>
        <w:jc w:val="both"/>
        <w:ind w:firstLine="645"/>
        <w:spacing w:after="0" w:line="213" w:lineRule="auto"/>
        <w:tabs>
          <w:tab w:leader="none" w:pos="127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Event</w:t>
      </w:r>
      <w:r>
        <w:rPr>
          <w:rFonts w:ascii="Times New Roman" w:cs="Times New Roman" w:eastAsia="Times New Roman" w:hAnsi="Times New Roman"/>
          <w:sz w:val="18"/>
          <w:szCs w:val="18"/>
          <w:color w:val="auto"/>
        </w:rPr>
        <w:t>. If a Sale Event occurs during the Performance Period, a number of PSUs shall be earned and vest upon the Sale Event equal to the greater of (i) the target number of PSUs listed above (the “</w:t>
      </w:r>
      <w:r>
        <w:rPr>
          <w:rFonts w:ascii="Times New Roman" w:cs="Times New Roman" w:eastAsia="Times New Roman" w:hAnsi="Times New Roman"/>
          <w:sz w:val="18"/>
          <w:szCs w:val="18"/>
          <w:b w:val="1"/>
          <w:bCs w:val="1"/>
          <w:i w:val="1"/>
          <w:iCs w:val="1"/>
          <w:color w:val="auto"/>
        </w:rPr>
        <w:t>Target Number of PSUs</w:t>
      </w:r>
      <w:r>
        <w:rPr>
          <w:rFonts w:ascii="Times New Roman" w:cs="Times New Roman" w:eastAsia="Times New Roman" w:hAnsi="Times New Roman"/>
          <w:sz w:val="18"/>
          <w:szCs w:val="18"/>
          <w:color w:val="auto"/>
        </w:rPr>
        <w:t>”) or (ii) 3% of the Target Number of PSUs for every 1% (rounded down to the nearest whole percent) by which the Sale Price (as defined below) exceeds the Fair Market Value of a share of Stock on the Grant Date (the “</w:t>
      </w:r>
      <w:r>
        <w:rPr>
          <w:rFonts w:ascii="Times New Roman" w:cs="Times New Roman" w:eastAsia="Times New Roman" w:hAnsi="Times New Roman"/>
          <w:sz w:val="18"/>
          <w:szCs w:val="18"/>
          <w:b w:val="1"/>
          <w:bCs w:val="1"/>
          <w:i w:val="1"/>
          <w:iCs w:val="1"/>
          <w:color w:val="auto"/>
        </w:rPr>
        <w:t>GDFMV</w:t>
      </w:r>
      <w:r>
        <w:rPr>
          <w:rFonts w:ascii="Times New Roman" w:cs="Times New Roman" w:eastAsia="Times New Roman" w:hAnsi="Times New Roman"/>
          <w:sz w:val="18"/>
          <w:szCs w:val="18"/>
          <w:color w:val="auto"/>
        </w:rPr>
        <w:t>”), in each of clause (i) and (ii), minus any PSUs that have previously vested under this Agreement. Any PSUs that remain unvested after giving effect to the immediately preceding sentence will, unless otherwise determined by the Administrator, automatically and without notice terminate and be forfeited as of the Sale Event, and neither the Grantee nor any of his or her successors, heirs, assigns, or personal representatives will thereafter have any further rights or interests in such PSUs. “</w:t>
      </w:r>
      <w:r>
        <w:rPr>
          <w:rFonts w:ascii="Times New Roman" w:cs="Times New Roman" w:eastAsia="Times New Roman" w:hAnsi="Times New Roman"/>
          <w:sz w:val="18"/>
          <w:szCs w:val="18"/>
          <w:b w:val="1"/>
          <w:bCs w:val="1"/>
          <w:i w:val="1"/>
          <w:iCs w:val="1"/>
          <w:color w:val="auto"/>
        </w:rPr>
        <w:t>Sale Price</w:t>
      </w:r>
      <w:r>
        <w:rPr>
          <w:rFonts w:ascii="Times New Roman" w:cs="Times New Roman" w:eastAsia="Times New Roman" w:hAnsi="Times New Roman"/>
          <w:sz w:val="18"/>
          <w:szCs w:val="18"/>
          <w:color w:val="auto"/>
        </w:rPr>
        <w:t>” for this purpose means the public market closing price per share of Stock on the last day prior to the Sale Event that the Stock is publicly traded (and trading has not been halted) or, if the consideration payable for Stock in the transaction is entirely cash, the amount of cash per share of Stock payable in the Sale Event, whichever is greater.</w:t>
      </w:r>
    </w:p>
    <w:p>
      <w:pPr>
        <w:spacing w:after="0" w:line="157"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firstLine="645"/>
        <w:spacing w:after="0" w:line="214" w:lineRule="auto"/>
        <w:tabs>
          <w:tab w:leader="none" w:pos="127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If the Grantee’s Service Relationship terminates by reason of the Grantee’s death or termination by the Company due to Disability (as defined below), (i) a number of PSUs equal to the Target Number of PSUs minus any PSUs that have previously vested under this Agreement shall vest immediately upon such employment termination, and (ii) if and to the extent that during the 18 months following such termination of employment, PSUs exceeding the Target Number of PSUs would have become vested if the Grantee had remained continuously employed (such excess PSUs, the “</w:t>
      </w:r>
      <w:r>
        <w:rPr>
          <w:rFonts w:ascii="Times New Roman" w:cs="Times New Roman" w:eastAsia="Times New Roman" w:hAnsi="Times New Roman"/>
          <w:sz w:val="18"/>
          <w:szCs w:val="18"/>
          <w:b w:val="1"/>
          <w:bCs w:val="1"/>
          <w:i w:val="1"/>
          <w:iCs w:val="1"/>
          <w:color w:val="auto"/>
        </w:rPr>
        <w:t>Excess PSUs</w:t>
      </w:r>
      <w:r>
        <w:rPr>
          <w:rFonts w:ascii="Times New Roman" w:cs="Times New Roman" w:eastAsia="Times New Roman" w:hAnsi="Times New Roman"/>
          <w:sz w:val="18"/>
          <w:szCs w:val="18"/>
          <w:color w:val="auto"/>
        </w:rPr>
        <w:t>”), the Grantee shall vest in such Excess PSUs as if the Grantee had remained so employed.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for this purpose means the Grantee’s physical or mental condition that renders the Grantee unable to substantially perform for a period of 90 consecutive</w:t>
      </w:r>
    </w:p>
    <w:p>
      <w:pPr>
        <w:sectPr>
          <w:pgSz w:w="11900" w:h="16838" w:orient="portrait"/>
          <w:cols w:equalWidth="0" w:num="1">
            <w:col w:w="11240"/>
          </w:cols>
          <w:pgMar w:left="320" w:top="1397" w:right="339" w:bottom="1440" w:gutter="0" w:footer="0" w:header="0"/>
        </w:sectPr>
      </w:pPr>
    </w:p>
    <w:bookmarkStart w:id="157" w:name="page158"/>
    <w:bookmarkEnd w:id="157"/>
    <w:p>
      <w:pPr>
        <w:spacing w:after="0" w:line="234" w:lineRule="auto"/>
        <w:rPr>
          <w:sz w:val="20"/>
          <w:szCs w:val="20"/>
          <w:color w:val="auto"/>
        </w:rPr>
      </w:pPr>
      <w:r>
        <w:rPr>
          <w:rFonts w:ascii="Times New Roman" w:cs="Times New Roman" w:eastAsia="Times New Roman" w:hAnsi="Times New Roman"/>
          <w:sz w:val="18"/>
          <w:szCs w:val="18"/>
          <w:color w:val="auto"/>
        </w:rPr>
        <w:t>days or 180 total days (regardless of whether or not consecutive) during any 360 day period, Grantee’s regular responsibilities to the Company, with or without a reasonable accommodation.</w:t>
      </w:r>
    </w:p>
    <w:p>
      <w:pPr>
        <w:spacing w:after="0" w:line="169" w:lineRule="exact"/>
        <w:rPr>
          <w:sz w:val="20"/>
          <w:szCs w:val="20"/>
          <w:color w:val="auto"/>
        </w:rPr>
      </w:pPr>
    </w:p>
    <w:p>
      <w:pPr>
        <w:jc w:val="both"/>
        <w:ind w:firstLine="645"/>
        <w:spacing w:after="0" w:line="221" w:lineRule="auto"/>
        <w:tabs>
          <w:tab w:leader="none" w:pos="127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Grantee’s Service Relationship terminates for any reason other than by reason of the Grantee’s death or termination by the Company for Disability, any PSUs that have not vested as of the date of such termination shall automatically and without notice terminate and be forfeited, and neither the Grantee nor any of his or her successors, heirs, assigns, or personal representatives will thereafter have any further rights or interests in such unvested PSUs.</w:t>
      </w:r>
    </w:p>
    <w:p>
      <w:pPr>
        <w:spacing w:after="0" w:line="156"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any PSUs vest (but in no event later than two and one-half months after the end of the year in which such</w:t>
      </w:r>
    </w:p>
    <w:p>
      <w:pPr>
        <w:spacing w:after="0" w:line="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vesting date occurs), the Company shall issue to the Grantee the number of shares of Stock equal to (i) the Achievement Percentage for the applicable Milestone that has been Achieved, multiplied by the Target Number of PSUs or (ii) in the event the PSUs vest under Paragraph 2(b) or Paragraph 3(a), such other number of shares of Stock as corresponds to the number of PSUs that vest under such Paragraph, in any case, rounded to the nearest whole share (provided that shares totaling no more than 250% of the Target Number of PSUs may be issued hereunder). The Grantee shall thereafter have all the rights of a stockholder of the Company with respect to such issued shares.</w:t>
      </w:r>
    </w:p>
    <w:p>
      <w:pPr>
        <w:spacing w:after="0" w:line="176" w:lineRule="exact"/>
        <w:rPr>
          <w:sz w:val="20"/>
          <w:szCs w:val="20"/>
          <w:color w:val="auto"/>
        </w:rPr>
      </w:pPr>
    </w:p>
    <w:p>
      <w:pPr>
        <w:ind w:left="640" w:hanging="634"/>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63" w:lineRule="exact"/>
        <w:rPr>
          <w:sz w:val="20"/>
          <w:szCs w:val="20"/>
          <w:color w:val="auto"/>
        </w:rPr>
      </w:pPr>
    </w:p>
    <w:p>
      <w:pPr>
        <w:ind w:left="640" w:hanging="634"/>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w:t>
      </w:r>
    </w:p>
    <w:p>
      <w:pPr>
        <w:spacing w:after="0" w:line="1" w:lineRule="exact"/>
        <w:rPr>
          <w:sz w:val="20"/>
          <w:szCs w:val="20"/>
          <w:color w:val="auto"/>
        </w:rPr>
      </w:pPr>
    </w:p>
    <w:p>
      <w:pPr>
        <w:jc w:val="both"/>
        <w:ind w:firstLine="6"/>
        <w:spacing w:after="0" w:line="250" w:lineRule="auto"/>
        <w:tabs>
          <w:tab w:leader="none" w:pos="23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73" w:lineRule="exact"/>
        <w:rPr>
          <w:sz w:val="20"/>
          <w:szCs w:val="20"/>
          <w:color w:val="auto"/>
        </w:rPr>
      </w:pPr>
    </w:p>
    <w:p>
      <w:pPr>
        <w:ind w:left="640" w:hanging="634"/>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This Agreement is intended to be exempt from or otherwise comply with the provisions of Section 409A of the Code and shall be interpreted in a manner consistent with such intent. To the extent this Agreement is subject to Section 409A of the Code, each settlement of the PSUs shall be treated as a separate payment, and the right to a series of installment payments under the PSUs shall be treated as a right to a series of separate payments. In no event shall the Grantee, directly or indirectly designate the calendar year of payment. The Company may change or modify the terms of this Agreement without the Grantee’s consent or signature if the Company determines, in its sole discretion, that such change or modification is necessary for purposes of compliance with or exemption from the requirements of Section 409A of the Code or any regulations or other guidance issued thereunder.</w:t>
      </w:r>
    </w:p>
    <w:p>
      <w:pPr>
        <w:spacing w:after="0" w:line="174" w:lineRule="exact"/>
        <w:rPr>
          <w:sz w:val="20"/>
          <w:szCs w:val="20"/>
          <w:color w:val="auto"/>
        </w:rPr>
      </w:pPr>
    </w:p>
    <w:p>
      <w:pPr>
        <w:ind w:left="640" w:hanging="634"/>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Employment</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Neither the Company nor any Subsidiary is obligated by or as a result of the Plan or this Agreement to continue the Grantee’s employment with the Company or a Subsidiary and neither the Plan nor this Agreement shall interfere in any way with the right of the Company or any Subsidiary to terminate the Grantee’s employment with the Company or a Subsidiary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86" w:right="339" w:bottom="1440" w:gutter="0" w:footer="0" w:header="0"/>
        </w:sectPr>
      </w:pPr>
    </w:p>
    <w:bookmarkStart w:id="158" w:name="page159"/>
    <w:bookmarkEnd w:id="158"/>
    <w:p>
      <w:pPr>
        <w:ind w:left="640" w:hanging="634"/>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639"/>
        <w:spacing w:after="0" w:line="276"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with respect to this Award and supersedes all prior agreements and discussions between the parties concerning such subject matter.</w:t>
      </w:r>
    </w:p>
    <w:p>
      <w:pPr>
        <w:spacing w:after="0" w:line="150" w:lineRule="exact"/>
        <w:rPr>
          <w:sz w:val="20"/>
          <w:szCs w:val="20"/>
          <w:color w:val="auto"/>
        </w:rPr>
      </w:pPr>
    </w:p>
    <w:p>
      <w:pPr>
        <w:ind w:left="640" w:hanging="634"/>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639"/>
        <w:spacing w:after="0" w:line="251" w:lineRule="auto"/>
        <w:rPr>
          <w:sz w:val="20"/>
          <w:szCs w:val="20"/>
          <w:color w:val="auto"/>
        </w:rPr>
      </w:pPr>
      <w:r>
        <w:rPr>
          <w:rFonts w:ascii="Times New Roman" w:cs="Times New Roman" w:eastAsia="Times New Roman" w:hAnsi="Times New Roman"/>
          <w:sz w:val="18"/>
          <w:szCs w:val="18"/>
          <w:color w:val="auto"/>
        </w:rPr>
        <w:t>In order to administer the Plan and this Agreement and to implement or structure future equity grants, the Company, its subsidiaries and affiliates and certain agents thereof (together, the “</w:t>
      </w:r>
      <w:r>
        <w:rPr>
          <w:rFonts w:ascii="Times New Roman" w:cs="Times New Roman" w:eastAsia="Times New Roman" w:hAnsi="Times New Roman"/>
          <w:sz w:val="18"/>
          <w:szCs w:val="18"/>
          <w:b w:val="1"/>
          <w:bCs w:val="1"/>
          <w:i w:val="1"/>
          <w:iCs w:val="1"/>
          <w:color w:val="auto"/>
        </w:rPr>
        <w:t>Relevant Companies</w:t>
      </w:r>
      <w:r>
        <w:rPr>
          <w:rFonts w:ascii="Times New Roman" w:cs="Times New Roman" w:eastAsia="Times New Roman" w:hAnsi="Times New Roman"/>
          <w:sz w:val="18"/>
          <w:szCs w:val="18"/>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18"/>
          <w:szCs w:val="18"/>
          <w:b w:val="1"/>
          <w:bCs w:val="1"/>
          <w:i w:val="1"/>
          <w:iCs w:val="1"/>
          <w:color w:val="auto"/>
        </w:rPr>
        <w:t>Relevant Information</w:t>
      </w:r>
      <w:r>
        <w:rPr>
          <w:rFonts w:ascii="Times New Roman" w:cs="Times New Roman" w:eastAsia="Times New Roman" w:hAnsi="Times New Roman"/>
          <w:sz w:val="18"/>
          <w:szCs w:val="18"/>
          <w:color w:val="auto"/>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2" w:lineRule="exact"/>
        <w:rPr>
          <w:sz w:val="20"/>
          <w:szCs w:val="20"/>
          <w:color w:val="auto"/>
        </w:rPr>
      </w:pPr>
    </w:p>
    <w:p>
      <w:pPr>
        <w:ind w:left="640" w:hanging="634"/>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639"/>
        <w:spacing w:after="0" w:line="276" w:lineRule="auto"/>
        <w:rPr>
          <w:sz w:val="20"/>
          <w:szCs w:val="20"/>
          <w:color w:val="auto"/>
        </w:rPr>
      </w:pPr>
      <w:r>
        <w:rPr>
          <w:rFonts w:ascii="Times New Roman" w:cs="Times New Roman" w:eastAsia="Times New Roman" w:hAnsi="Times New Roman"/>
          <w:sz w:val="18"/>
          <w:szCs w:val="18"/>
          <w:color w:val="auto"/>
        </w:rPr>
        <w:t>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200" w:lineRule="exact"/>
        <w:rPr>
          <w:sz w:val="20"/>
          <w:szCs w:val="20"/>
          <w:color w:val="auto"/>
        </w:rPr>
      </w:pPr>
    </w:p>
    <w:p>
      <w:pPr>
        <w:spacing w:after="0" w:line="3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15240</wp:posOffset>
            </wp:positionV>
            <wp:extent cx="17411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86" w:right="339" w:bottom="1440" w:gutter="0" w:footer="0" w:header="0"/>
        </w:sectPr>
      </w:pPr>
    </w:p>
    <w:bookmarkStart w:id="159" w:name="page160"/>
    <w:bookmarkEnd w:id="159"/>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The foregoing Agreement (including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is hereby accepted and the terms and conditions thereof hereby agreed to by the undersigned. Electronic acceptance of this Agreement (including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pursuant to the Company’s instructions to the Grantee (including through an online acceptance process) is acceptable.</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15240</wp:posOffset>
            </wp:positionV>
            <wp:extent cx="35674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8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522605</wp:posOffset>
            </wp:positionV>
            <wp:extent cx="35674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356743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353695</wp:posOffset>
            </wp:positionV>
            <wp:extent cx="35674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356743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184785</wp:posOffset>
            </wp:positionV>
            <wp:extent cx="35674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9" w:right="33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APPENDIX A TO PERFORMANCE-BASED RESTRICTED STOCK UNIT AWARD AGREEMENT</w:t>
      </w:r>
    </w:p>
    <w:p>
      <w:pPr>
        <w:sectPr>
          <w:pgSz w:w="11900" w:h="16838" w:orient="portrait"/>
          <w:cols w:equalWidth="0" w:num="1">
            <w:col w:w="9019"/>
          </w:cols>
          <w:pgMar w:left="1440" w:top="1384" w:right="1440"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019"/>
          </w:cols>
          <w:pgMar w:left="1440" w:top="1384" w:right="1440" w:bottom="1440" w:gutter="0" w:footer="0" w:header="0"/>
          <w:type w:val="continuous"/>
        </w:sectPr>
      </w:pPr>
    </w:p>
    <w:bookmarkStart w:id="161" w:name="page162"/>
    <w:bookmarkEnd w:id="161"/>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Praxis Precision Medicines, Inc.</w:t>
      </w: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Chief Business Officer</w:t>
      </w:r>
    </w:p>
    <w:p>
      <w:pPr>
        <w:spacing w:after="0" w:line="196" w:lineRule="exact"/>
        <w:rPr>
          <w:sz w:val="20"/>
          <w:szCs w:val="20"/>
          <w:color w:val="auto"/>
        </w:rPr>
      </w:pPr>
    </w:p>
    <w:p>
      <w:pPr>
        <w:jc w:val="both"/>
        <w:ind w:right="20" w:firstLine="638"/>
        <w:spacing w:after="0" w:line="271" w:lineRule="auto"/>
        <w:rPr>
          <w:sz w:val="20"/>
          <w:szCs w:val="20"/>
          <w:color w:val="auto"/>
        </w:rPr>
      </w:pPr>
      <w:r>
        <w:rPr>
          <w:rFonts w:ascii="Times New Roman" w:cs="Times New Roman" w:eastAsia="Times New Roman" w:hAnsi="Times New Roman"/>
          <w:sz w:val="21"/>
          <w:szCs w:val="21"/>
          <w:color w:val="auto"/>
        </w:rPr>
        <w:t>This Executive Employment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between Praxis Precision Medicines,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Megan Sniecinski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and is effective upon the Executive’s first date of employment with the Company, on November 29, 2021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right="20" w:firstLine="638"/>
        <w:spacing w:after="0" w:line="29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Executive to provide services to the Company, and wishes to provide Executive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certain compensation and benefits in return for such employment services; and</w:t>
      </w:r>
    </w:p>
    <w:p>
      <w:pPr>
        <w:spacing w:after="0" w:line="133" w:lineRule="exact"/>
        <w:rPr>
          <w:sz w:val="20"/>
          <w:szCs w:val="20"/>
          <w:color w:val="auto"/>
        </w:rPr>
      </w:pPr>
    </w:p>
    <w:p>
      <w:pPr>
        <w:jc w:val="both"/>
        <w:ind w:right="20" w:firstLine="638"/>
        <w:spacing w:after="0" w:line="29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Executive wishes to be employed by the Company and to provide personal services to the Company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return for certain compensation and benefits;</w:t>
      </w:r>
    </w:p>
    <w:p>
      <w:pPr>
        <w:spacing w:after="0" w:line="133" w:lineRule="exact"/>
        <w:rPr>
          <w:sz w:val="20"/>
          <w:szCs w:val="20"/>
          <w:color w:val="auto"/>
        </w:rPr>
      </w:pPr>
    </w:p>
    <w:p>
      <w:pPr>
        <w:jc w:val="both"/>
        <w:ind w:right="20" w:firstLine="638"/>
        <w:spacing w:after="0" w:line="304"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promises and covenants contained herein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is hereby acknowledged, the Parties hereto agree as follows:</w:t>
      </w:r>
    </w:p>
    <w:p>
      <w:pPr>
        <w:spacing w:after="0" w:line="120" w:lineRule="exact"/>
        <w:rPr>
          <w:sz w:val="20"/>
          <w:szCs w:val="20"/>
          <w:color w:val="auto"/>
        </w:rPr>
      </w:pPr>
    </w:p>
    <w:p>
      <w:pPr>
        <w:ind w:left="1280" w:hanging="639"/>
        <w:spacing w:after="0"/>
        <w:tabs>
          <w:tab w:leader="none" w:pos="1280"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Employment by the Company.</w:t>
      </w:r>
    </w:p>
    <w:p>
      <w:pPr>
        <w:spacing w:after="0" w:line="224" w:lineRule="exact"/>
        <w:rPr>
          <w:sz w:val="20"/>
          <w:szCs w:val="20"/>
          <w:color w:val="auto"/>
        </w:rPr>
      </w:pPr>
    </w:p>
    <w:p>
      <w:pPr>
        <w:jc w:val="both"/>
        <w:ind w:firstLine="127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1.1 Position and Duties. </w:t>
      </w:r>
      <w:r>
        <w:rPr>
          <w:rFonts w:ascii="Times New Roman" w:cs="Times New Roman" w:eastAsia="Times New Roman" w:hAnsi="Times New Roman"/>
          <w:sz w:val="21"/>
          <w:szCs w:val="21"/>
          <w:color w:val="auto"/>
        </w:rPr>
        <w:t>Executive shall serve as the Company’s Chief Business Officer (the “</w:t>
      </w:r>
      <w:r>
        <w:rPr>
          <w:rFonts w:ascii="Times New Roman" w:cs="Times New Roman" w:eastAsia="Times New Roman" w:hAnsi="Times New Roman"/>
          <w:sz w:val="21"/>
          <w:szCs w:val="21"/>
          <w:b w:val="1"/>
          <w:bCs w:val="1"/>
          <w:color w:val="auto"/>
        </w:rPr>
        <w:t>Position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term of Executive’s employment with the Company, Executive shall devote one hundred percent of Executive’s business time on behalf of the Company and, on a full-time basis, use Executive’s skills and render services to the best of Executive’s abilities on behalf of the Company, and shall comply fully with the policies and procedures of the Company. Executive shall report directly to the Company’s Chief Executive Officer (the “CEO”). Executive shall perform those duties typically associated with the Position and such other duties consistent with the Position as may be assigned by the CEO, including but not limited to executive responsibility for business operations, corporate development, systems, and strategic planning and management. Notwithstanding the foregoing, nothing herein shall preclude Executive from</w:t>
      </w:r>
    </w:p>
    <w:p>
      <w:pPr>
        <w:spacing w:after="0" w:line="5" w:lineRule="exact"/>
        <w:rPr>
          <w:sz w:val="20"/>
          <w:szCs w:val="20"/>
          <w:color w:val="auto"/>
        </w:rPr>
      </w:pPr>
    </w:p>
    <w:p>
      <w:pPr>
        <w:jc w:val="both"/>
        <w:ind w:right="20" w:firstLine="2"/>
        <w:spacing w:after="0" w:line="255" w:lineRule="auto"/>
        <w:tabs>
          <w:tab w:leader="none" w:pos="277"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serving, with the prior written consent of the CEO, as a member of the boards of directors or advisory boards of non-competitive businesses and charitable organizations, (ii) engaging in charitable activities and community affairs, and (iii) managing Executive’s personal investments and affairs;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activities set out in clauses (i), (ii), and</w:t>
      </w:r>
    </w:p>
    <w:p>
      <w:pPr>
        <w:spacing w:after="0" w:line="1" w:lineRule="exact"/>
        <w:rPr>
          <w:rFonts w:ascii="Times New Roman" w:cs="Times New Roman" w:eastAsia="Times New Roman" w:hAnsi="Times New Roman"/>
          <w:sz w:val="21"/>
          <w:szCs w:val="21"/>
          <w:color w:val="auto"/>
        </w:rPr>
      </w:pPr>
    </w:p>
    <w:p>
      <w:pPr>
        <w:jc w:val="both"/>
        <w:ind w:right="20" w:firstLine="2"/>
        <w:spacing w:after="0" w:line="264" w:lineRule="auto"/>
        <w:tabs>
          <w:tab w:leader="none" w:pos="38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limited by Executive so as not to materially interfere, individually or in the aggregate, with the performance of Executive’s duties and responsibilities hereunder and shall not, in the judgment of the CEO pose a conflict of interest with Executive’s duties to the Company or its affiliates.</w:t>
      </w:r>
    </w:p>
    <w:p>
      <w:pPr>
        <w:sectPr>
          <w:pgSz w:w="11900" w:h="16838" w:orient="portrait"/>
          <w:cols w:equalWidth="0" w:num="1">
            <w:col w:w="10740"/>
          </w:cols>
          <w:pgMar w:left="580" w:top="1386" w:right="579" w:bottom="1440" w:gutter="0" w:footer="0" w:header="0"/>
        </w:sectPr>
      </w:pPr>
    </w:p>
    <w:bookmarkStart w:id="162" w:name="page163"/>
    <w:bookmarkEnd w:id="162"/>
    <w:p>
      <w:pPr>
        <w:spacing w:after="0" w:line="80" w:lineRule="exact"/>
        <w:rPr>
          <w:sz w:val="20"/>
          <w:szCs w:val="20"/>
          <w:color w:val="auto"/>
        </w:rPr>
      </w:pPr>
    </w:p>
    <w:p>
      <w:pPr>
        <w:jc w:val="both"/>
        <w:ind w:right="20" w:firstLine="1277"/>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1.2 Location of Work. </w:t>
      </w:r>
      <w:r>
        <w:rPr>
          <w:rFonts w:ascii="Times New Roman" w:cs="Times New Roman" w:eastAsia="Times New Roman" w:hAnsi="Times New Roman"/>
          <w:sz w:val="21"/>
          <w:szCs w:val="21"/>
          <w:color w:val="auto"/>
        </w:rPr>
        <w:t>Executive shall work</w:t>
      </w:r>
      <w:r>
        <w:rPr>
          <w:rFonts w:ascii="Times New Roman" w:cs="Times New Roman" w:eastAsia="Times New Roman" w:hAnsi="Times New Roman"/>
          <w:sz w:val="21"/>
          <w:szCs w:val="21"/>
          <w:b w:val="1"/>
          <w:bCs w:val="1"/>
          <w:color w:val="auto"/>
        </w:rPr>
        <w:t xml:space="preserve"> remotely </w:t>
      </w:r>
      <w:r>
        <w:rPr>
          <w:rFonts w:ascii="Times New Roman" w:cs="Times New Roman" w:eastAsia="Times New Roman" w:hAnsi="Times New Roman"/>
          <w:sz w:val="21"/>
          <w:szCs w:val="21"/>
          <w:color w:val="auto"/>
        </w:rPr>
        <w:t>in the USA. The Company reserves the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reasonably require Executive to perform Executive’s duties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places other than Executive’s primary office location from time to time, and to require reasonable business travel.</w:t>
      </w:r>
    </w:p>
    <w:p>
      <w:pPr>
        <w:spacing w:after="0" w:line="209" w:lineRule="exact"/>
        <w:rPr>
          <w:sz w:val="20"/>
          <w:szCs w:val="20"/>
          <w:color w:val="auto"/>
        </w:rPr>
      </w:pPr>
    </w:p>
    <w:p>
      <w:pPr>
        <w:jc w:val="both"/>
        <w:ind w:right="20" w:firstLine="1277"/>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1.3 Policies and Procedures. </w:t>
      </w:r>
      <w:r>
        <w:rPr>
          <w:rFonts w:ascii="Times New Roman" w:cs="Times New Roman" w:eastAsia="Times New Roman" w:hAnsi="Times New Roman"/>
          <w:sz w:val="21"/>
          <w:szCs w:val="21"/>
          <w:color w:val="auto"/>
        </w:rPr>
        <w:t>The employment relationship between the Parties shall be governed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 employment policies and practices of the Company, except that when the terms of this Agreement differ from or are in conflict with the Company’s general employment policies or practices, this Agreement shall control.</w:t>
      </w:r>
    </w:p>
    <w:p>
      <w:pPr>
        <w:spacing w:after="0" w:line="167" w:lineRule="exact"/>
        <w:rPr>
          <w:sz w:val="20"/>
          <w:szCs w:val="20"/>
          <w:color w:val="auto"/>
        </w:rPr>
      </w:pPr>
    </w:p>
    <w:p>
      <w:pPr>
        <w:ind w:left="1280" w:hanging="639"/>
        <w:spacing w:after="0"/>
        <w:tabs>
          <w:tab w:leader="none" w:pos="128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w:t>
      </w:r>
    </w:p>
    <w:p>
      <w:pPr>
        <w:spacing w:after="0" w:line="224" w:lineRule="exact"/>
        <w:rPr>
          <w:sz w:val="20"/>
          <w:szCs w:val="20"/>
          <w:color w:val="auto"/>
        </w:rPr>
      </w:pPr>
    </w:p>
    <w:p>
      <w:pPr>
        <w:jc w:val="both"/>
        <w:ind w:right="20" w:firstLine="1277"/>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2.1 Salary. </w:t>
      </w:r>
      <w:r>
        <w:rPr>
          <w:rFonts w:ascii="Times New Roman" w:cs="Times New Roman" w:eastAsia="Times New Roman" w:hAnsi="Times New Roman"/>
          <w:sz w:val="21"/>
          <w:szCs w:val="21"/>
          <w:color w:val="auto"/>
        </w:rPr>
        <w:t>For services to be rendered hereunder, Executive shall receive an initial base salary at the rate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$390,000 per year, subject to standard payroll deductions and withholdings and payable in accordance with the Company’s regular payroll schedule (the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Executive’s Base Salary will be reviewed annually by the CEO.</w:t>
      </w:r>
    </w:p>
    <w:p>
      <w:pPr>
        <w:spacing w:after="0" w:line="154" w:lineRule="exact"/>
        <w:rPr>
          <w:sz w:val="20"/>
          <w:szCs w:val="20"/>
          <w:color w:val="auto"/>
        </w:rPr>
      </w:pPr>
    </w:p>
    <w:p>
      <w:pPr>
        <w:jc w:val="both"/>
        <w:ind w:right="20" w:firstLine="127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2.2 Annual Cash Bonus. </w:t>
      </w:r>
      <w:r>
        <w:rPr>
          <w:rFonts w:ascii="Times New Roman" w:cs="Times New Roman" w:eastAsia="Times New Roman" w:hAnsi="Times New Roman"/>
          <w:sz w:val="21"/>
          <w:szCs w:val="21"/>
          <w:color w:val="auto"/>
        </w:rPr>
        <w:t>Executive will be eligible for an annual cash bonus with a target amount of 40%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Base Salary (the “</w:t>
      </w: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Whether Executive receives an Annual Bonus for any given year, and the amount of any such Annual Bonus, will be determined by the Board or the Compensation Committee based upon the Company’s and Executive’s achievement of objectives and milestones to be determined by the Board or the Compensation Committee on an annual basis. Except as otherwise provided herein or in applicable incentive compensation plan that may be in effect from time to time, Executive will not be eligible for, and will not earn, any Annual Bonus if Executive is not employed by the Company on the payment date (regardless of the reason for the separation from employment).</w:t>
      </w:r>
    </w:p>
    <w:p>
      <w:pPr>
        <w:spacing w:after="0" w:line="179" w:lineRule="exact"/>
        <w:rPr>
          <w:sz w:val="20"/>
          <w:szCs w:val="20"/>
          <w:color w:val="auto"/>
        </w:rPr>
      </w:pPr>
    </w:p>
    <w:p>
      <w:pPr>
        <w:jc w:val="both"/>
        <w:ind w:firstLine="1277"/>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2.3 Equity. </w:t>
      </w:r>
      <w:r>
        <w:rPr>
          <w:rFonts w:ascii="Times New Roman" w:cs="Times New Roman" w:eastAsia="Times New Roman" w:hAnsi="Times New Roman"/>
          <w:sz w:val="21"/>
          <w:szCs w:val="21"/>
          <w:color w:val="auto"/>
        </w:rPr>
        <w:t>Subject to approval of the Board or its delegate, Executive will receive a stock option grant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180,000 shares of Company equity. The options’ vesting will be in accordance with the Company’s stock plan. The options will vest as follows: one quarter of the shares will vest on the first anniversary of the Effective Date and following that 1/48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shares will vest on a monthly basis, in arrears. The stock options and any other stock-based awards granted to Executive shall be governed by the terms and conditions of the Company’s applicable equity incentive plan(s) and the applicable award agreement(s) governing the terms of such stock options and other stock-based awards (collectively, the “</w:t>
      </w:r>
      <w:r>
        <w:rPr>
          <w:rFonts w:ascii="Times New Roman" w:cs="Times New Roman" w:eastAsia="Times New Roman" w:hAnsi="Times New Roman"/>
          <w:sz w:val="21"/>
          <w:szCs w:val="21"/>
          <w:b w:val="1"/>
          <w:bCs w:val="1"/>
          <w:color w:val="auto"/>
        </w:rPr>
        <w:t>Equity Documents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and notwithstanding anything to the contrary in the Equity Documents, Section 5.3(ii)(b) of this Agreement shall apply in the event of a termination of Executive’s employment by the Company without Cause or by Executive for Good Reason, in either case within the Change of Control Period (as such terms are defined below).</w:t>
      </w:r>
    </w:p>
    <w:p>
      <w:pPr>
        <w:spacing w:after="0" w:line="200" w:lineRule="exact"/>
        <w:rPr>
          <w:sz w:val="20"/>
          <w:szCs w:val="20"/>
          <w:color w:val="auto"/>
        </w:rPr>
      </w:pPr>
    </w:p>
    <w:p>
      <w:pPr>
        <w:spacing w:after="0" w:line="238" w:lineRule="exact"/>
        <w:rPr>
          <w:sz w:val="20"/>
          <w:szCs w:val="20"/>
          <w:color w:val="auto"/>
        </w:rPr>
      </w:pPr>
    </w:p>
    <w:p>
      <w:pPr>
        <w:jc w:val="both"/>
        <w:ind w:right="20" w:firstLine="640"/>
        <w:spacing w:after="0" w:line="278" w:lineRule="auto"/>
        <w:tabs>
          <w:tab w:leader="none" w:pos="1011"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Standard Company Benefits. </w:t>
      </w:r>
      <w:r>
        <w:rPr>
          <w:rFonts w:ascii="Times New Roman" w:cs="Times New Roman" w:eastAsia="Times New Roman" w:hAnsi="Times New Roman"/>
          <w:sz w:val="21"/>
          <w:szCs w:val="21"/>
          <w:color w:val="auto"/>
        </w:rPr>
        <w:t>Executive shall be entitled to participate in all employee benefit programs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Executive is eligible under the terms and conditions of the benefit plans that may be in effect from time to time and provided by the Company</w:t>
      </w:r>
    </w:p>
    <w:p>
      <w:pPr>
        <w:sectPr>
          <w:pgSz w:w="11900" w:h="16838" w:orient="portrait"/>
          <w:cols w:equalWidth="0" w:num="1">
            <w:col w:w="10740"/>
          </w:cols>
          <w:pgMar w:left="580" w:top="1440" w:right="579" w:bottom="1440" w:gutter="0" w:footer="0" w:header="0"/>
        </w:sectPr>
      </w:pPr>
    </w:p>
    <w:bookmarkStart w:id="163" w:name="page164"/>
    <w:bookmarkEnd w:id="163"/>
    <w:p>
      <w:pPr>
        <w:spacing w:after="0" w:line="8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1"/>
          <w:szCs w:val="21"/>
          <w:color w:val="auto"/>
        </w:rPr>
        <w:t>to its employees. The Company reserves the right to cancel or change the benefit plans or programs it offers to its employees at any time.</w:t>
      </w:r>
    </w:p>
    <w:p>
      <w:pPr>
        <w:jc w:val="both"/>
        <w:ind w:firstLine="640"/>
        <w:spacing w:after="0" w:line="271" w:lineRule="auto"/>
        <w:tabs>
          <w:tab w:leader="none" w:pos="1011"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Expenses. </w:t>
      </w:r>
      <w:r>
        <w:rPr>
          <w:rFonts w:ascii="Times New Roman" w:cs="Times New Roman" w:eastAsia="Times New Roman" w:hAnsi="Times New Roman"/>
          <w:sz w:val="21"/>
          <w:szCs w:val="21"/>
          <w:color w:val="auto"/>
        </w:rPr>
        <w:t>The Company will reimburse Executive for reasonable travel, entertainment or other 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incurred by Executive in furtherance or in connection with the performance of Executive’s duties hereunder, in accordance with the Company’s expense reimbursement policy as in effect from time to time.</w:t>
      </w:r>
    </w:p>
    <w:p>
      <w:pPr>
        <w:spacing w:after="0" w:line="167" w:lineRule="exact"/>
        <w:rPr>
          <w:rFonts w:ascii="Times New Roman" w:cs="Times New Roman" w:eastAsia="Times New Roman" w:hAnsi="Times New Roman"/>
          <w:sz w:val="21"/>
          <w:szCs w:val="21"/>
          <w:b w:val="1"/>
          <w:bCs w:val="1"/>
          <w:color w:val="auto"/>
        </w:rPr>
      </w:pPr>
    </w:p>
    <w:p>
      <w:pPr>
        <w:ind w:left="1280" w:hanging="639"/>
        <w:spacing w:after="0"/>
        <w:tabs>
          <w:tab w:leader="none" w:pos="1280"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Employment; Severance.</w:t>
      </w:r>
    </w:p>
    <w:p>
      <w:pPr>
        <w:spacing w:after="0" w:line="224" w:lineRule="exact"/>
        <w:rPr>
          <w:sz w:val="20"/>
          <w:szCs w:val="20"/>
          <w:color w:val="auto"/>
        </w:rPr>
      </w:pPr>
    </w:p>
    <w:p>
      <w:pPr>
        <w:ind w:firstLine="1277"/>
        <w:spacing w:after="0" w:line="291" w:lineRule="auto"/>
        <w:rPr>
          <w:sz w:val="20"/>
          <w:szCs w:val="20"/>
          <w:color w:val="auto"/>
        </w:rPr>
      </w:pPr>
      <w:r>
        <w:rPr>
          <w:rFonts w:ascii="Times New Roman" w:cs="Times New Roman" w:eastAsia="Times New Roman" w:hAnsi="Times New Roman"/>
          <w:sz w:val="21"/>
          <w:szCs w:val="21"/>
          <w:b w:val="1"/>
          <w:bCs w:val="1"/>
          <w:color w:val="auto"/>
        </w:rPr>
        <w:t xml:space="preserve">5.1 At-Will Employment. </w:t>
      </w:r>
      <w:r>
        <w:rPr>
          <w:rFonts w:ascii="Times New Roman" w:cs="Times New Roman" w:eastAsia="Times New Roman" w:hAnsi="Times New Roman"/>
          <w:sz w:val="21"/>
          <w:szCs w:val="21"/>
          <w:color w:val="auto"/>
        </w:rPr>
        <w:t>Executive’s employment relationship is at-will. Either Executive or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terminate the employment relationship at any time, with or without cause subject to the terms of this Agreement.</w:t>
      </w:r>
    </w:p>
    <w:p>
      <w:pPr>
        <w:spacing w:after="0" w:line="133" w:lineRule="exact"/>
        <w:rPr>
          <w:sz w:val="20"/>
          <w:szCs w:val="20"/>
          <w:color w:val="auto"/>
        </w:rPr>
      </w:pPr>
    </w:p>
    <w:p>
      <w:pPr>
        <w:ind w:firstLine="1277"/>
        <w:spacing w:after="0" w:line="304" w:lineRule="auto"/>
        <w:rPr>
          <w:sz w:val="20"/>
          <w:szCs w:val="20"/>
          <w:color w:val="auto"/>
        </w:rPr>
      </w:pPr>
      <w:r>
        <w:rPr>
          <w:rFonts w:ascii="Times New Roman" w:cs="Times New Roman" w:eastAsia="Times New Roman" w:hAnsi="Times New Roman"/>
          <w:sz w:val="21"/>
          <w:szCs w:val="21"/>
          <w:b w:val="1"/>
          <w:bCs w:val="1"/>
          <w:color w:val="auto"/>
        </w:rPr>
        <w:t>5.2 Severance Pay and Benefits Upon a Termination Without Cause or Resignation for Good Reason Outside the Change of Control Period.</w:t>
      </w:r>
    </w:p>
    <w:p>
      <w:pPr>
        <w:spacing w:after="0" w:line="124" w:lineRule="exact"/>
        <w:rPr>
          <w:sz w:val="20"/>
          <w:szCs w:val="20"/>
          <w:color w:val="auto"/>
        </w:rPr>
      </w:pPr>
    </w:p>
    <w:p>
      <w:pPr>
        <w:jc w:val="both"/>
        <w:ind w:firstLine="1919"/>
        <w:spacing w:after="0" w:line="269" w:lineRule="auto"/>
        <w:tabs>
          <w:tab w:leader="none" w:pos="2291" w:val="left"/>
        </w:tabs>
        <w:numPr>
          <w:ilvl w:val="1"/>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may terminate Executive’s employment with the Company at any time without Cause. Executive may terminate Executive’s employment with the Company at any time for any reason, including for Good Reason.</w:t>
      </w:r>
    </w:p>
    <w:p>
      <w:pPr>
        <w:spacing w:after="0" w:line="159" w:lineRule="exact"/>
        <w:rPr>
          <w:rFonts w:ascii="Times New Roman" w:cs="Times New Roman" w:eastAsia="Times New Roman" w:hAnsi="Times New Roman"/>
          <w:sz w:val="21"/>
          <w:szCs w:val="21"/>
          <w:b w:val="1"/>
          <w:bCs w:val="1"/>
          <w:color w:val="auto"/>
        </w:rPr>
      </w:pPr>
    </w:p>
    <w:p>
      <w:pPr>
        <w:jc w:val="both"/>
        <w:ind w:firstLine="1919"/>
        <w:spacing w:after="0" w:line="267" w:lineRule="auto"/>
        <w:tabs>
          <w:tab w:leader="none" w:pos="2297" w:val="left"/>
        </w:tabs>
        <w:numPr>
          <w:ilvl w:val="1"/>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that Executive’s employment with the Company is terminated by the Company without Cause or by Executive for Good Reason, in either case outside of the Change of Control Period, then, provided that Executive remains in compliance with the terms of this Agreement, the Company shall provide Executive with the following severance benefits:</w:t>
      </w:r>
    </w:p>
    <w:p>
      <w:pPr>
        <w:spacing w:after="0" w:line="163" w:lineRule="exact"/>
        <w:rPr>
          <w:rFonts w:ascii="Times New Roman" w:cs="Times New Roman" w:eastAsia="Times New Roman" w:hAnsi="Times New Roman"/>
          <w:sz w:val="21"/>
          <w:szCs w:val="21"/>
          <w:b w:val="1"/>
          <w:bCs w:val="1"/>
          <w:color w:val="auto"/>
        </w:rPr>
      </w:pPr>
    </w:p>
    <w:p>
      <w:pPr>
        <w:ind w:left="3200" w:hanging="641"/>
        <w:spacing w:after="0"/>
        <w:tabs>
          <w:tab w:leader="none" w:pos="3200" w:val="left"/>
        </w:tabs>
        <w:numPr>
          <w:ilvl w:val="2"/>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shall pay Executive, as severance, nine</w:t>
      </w:r>
    </w:p>
    <w:p>
      <w:pPr>
        <w:spacing w:after="0" w:line="35" w:lineRule="exact"/>
        <w:rPr>
          <w:rFonts w:ascii="Times New Roman" w:cs="Times New Roman" w:eastAsia="Times New Roman" w:hAnsi="Times New Roman"/>
          <w:sz w:val="21"/>
          <w:szCs w:val="21"/>
          <w:b w:val="1"/>
          <w:bCs w:val="1"/>
          <w:color w:val="auto"/>
        </w:rPr>
      </w:pPr>
    </w:p>
    <w:p>
      <w:pPr>
        <w:jc w:val="both"/>
        <w:ind w:firstLine="2"/>
        <w:spacing w:after="0" w:line="259" w:lineRule="auto"/>
        <w:tabs>
          <w:tab w:leader="none" w:pos="32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of Executive’s Base Salary in effect as of the date of Executive’s employment termination, subject to standard payroll deductions and withholdings (the “</w:t>
      </w:r>
      <w:r>
        <w:rPr>
          <w:rFonts w:ascii="Times New Roman" w:cs="Times New Roman" w:eastAsia="Times New Roman" w:hAnsi="Times New Roman"/>
          <w:sz w:val="21"/>
          <w:szCs w:val="21"/>
          <w:b w:val="1"/>
          <w:bCs w:val="1"/>
          <w:color w:val="auto"/>
        </w:rPr>
        <w:t>Severance</w:t>
      </w:r>
      <w:r>
        <w:rPr>
          <w:rFonts w:ascii="Times New Roman" w:cs="Times New Roman" w:eastAsia="Times New Roman" w:hAnsi="Times New Roman"/>
          <w:sz w:val="21"/>
          <w:szCs w:val="21"/>
          <w:color w:val="auto"/>
        </w:rPr>
        <w:t>”). Subject to Section 5.2(iii) below, the Severance will be paid in equal installments on the Company’s regular payroll schedule over the nine (9) month period following Executive’s termination of employment.</w:t>
      </w:r>
    </w:p>
    <w:p>
      <w:pPr>
        <w:spacing w:after="0" w:line="171" w:lineRule="exact"/>
        <w:rPr>
          <w:rFonts w:ascii="Times New Roman" w:cs="Times New Roman" w:eastAsia="Times New Roman" w:hAnsi="Times New Roman"/>
          <w:sz w:val="21"/>
          <w:szCs w:val="21"/>
          <w:color w:val="auto"/>
        </w:rPr>
      </w:pPr>
    </w:p>
    <w:p>
      <w:pPr>
        <w:jc w:val="both"/>
        <w:ind w:firstLine="2558"/>
        <w:spacing w:after="0" w:line="258" w:lineRule="auto"/>
        <w:tabs>
          <w:tab w:leader="none" w:pos="2936" w:val="left"/>
        </w:tabs>
        <w:numPr>
          <w:ilvl w:val="2"/>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Times New Roman" w:cs="Times New Roman" w:eastAsia="Times New Roman" w:hAnsi="Times New Roman"/>
          <w:sz w:val="21"/>
          <w:szCs w:val="21"/>
          <w:b w:val="1"/>
          <w:bCs w:val="1"/>
          <w:color w:val="auto"/>
        </w:rPr>
        <w:t>COBRA Premiums</w:t>
      </w:r>
      <w:r>
        <w:rPr>
          <w:rFonts w:ascii="Times New Roman" w:cs="Times New Roman" w:eastAsia="Times New Roman" w:hAnsi="Times New Roman"/>
          <w:sz w:val="21"/>
          <w:szCs w:val="21"/>
          <w:color w:val="auto"/>
        </w:rPr>
        <w:t>”) through the period (the “</w:t>
      </w:r>
      <w:r>
        <w:rPr>
          <w:rFonts w:ascii="Times New Roman" w:cs="Times New Roman" w:eastAsia="Times New Roman" w:hAnsi="Times New Roman"/>
          <w:sz w:val="21"/>
          <w:szCs w:val="21"/>
          <w:b w:val="1"/>
          <w:bCs w:val="1"/>
          <w:color w:val="auto"/>
        </w:rPr>
        <w:t>COBRA Premium Period</w:t>
      </w:r>
      <w:r>
        <w:rPr>
          <w:rFonts w:ascii="Times New Roman" w:cs="Times New Roman" w:eastAsia="Times New Roman" w:hAnsi="Times New Roman"/>
          <w:sz w:val="21"/>
          <w:szCs w:val="21"/>
          <w:color w:val="auto"/>
        </w:rPr>
        <w:t>”) starting on Executive’s date of termination and ending on the earliest to occur of: (i) the nine (9)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 Notwithstanding the foregoing, if the Company determines, in its</w:t>
      </w:r>
    </w:p>
    <w:p>
      <w:pPr>
        <w:sectPr>
          <w:pgSz w:w="11900" w:h="16838" w:orient="portrait"/>
          <w:cols w:equalWidth="0" w:num="1">
            <w:col w:w="10720"/>
          </w:cols>
          <w:pgMar w:left="580" w:top="1440" w:right="599" w:bottom="1440" w:gutter="0" w:footer="0" w:header="0"/>
        </w:sectPr>
      </w:pPr>
    </w:p>
    <w:bookmarkStart w:id="164" w:name="page165"/>
    <w:bookmarkEnd w:id="164"/>
    <w:p>
      <w:pPr>
        <w:spacing w:after="0" w:line="8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1"/>
          <w:szCs w:val="21"/>
          <w:color w:val="auto"/>
        </w:rPr>
        <w:t>sole discretion, that it cannot pay the COBRA Premiums without potentially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Times New Roman" w:cs="Times New Roman" w:eastAsia="Times New Roman" w:hAnsi="Times New Roman"/>
          <w:sz w:val="21"/>
          <w:szCs w:val="21"/>
          <w:b w:val="1"/>
          <w:bCs w:val="1"/>
          <w:color w:val="auto"/>
        </w:rPr>
        <w:t>Special Cash Payment</w:t>
      </w:r>
      <w:r>
        <w:rPr>
          <w:rFonts w:ascii="Times New Roman" w:cs="Times New Roman" w:eastAsia="Times New Roman" w:hAnsi="Times New Roman"/>
          <w:sz w:val="21"/>
          <w:szCs w:val="21"/>
          <w:color w:val="auto"/>
        </w:rPr>
        <w:t>”), for the remainder of the COBRA Premium Period. Executive may, but is not obligated to, use such Special Cash Payments toward the cost of COBRA premiums.</w:t>
      </w:r>
    </w:p>
    <w:p>
      <w:pPr>
        <w:spacing w:after="0" w:line="200" w:lineRule="exact"/>
        <w:rPr>
          <w:sz w:val="20"/>
          <w:szCs w:val="20"/>
          <w:color w:val="auto"/>
        </w:rPr>
      </w:pPr>
    </w:p>
    <w:p>
      <w:pPr>
        <w:spacing w:after="0" w:line="240" w:lineRule="exact"/>
        <w:rPr>
          <w:sz w:val="20"/>
          <w:szCs w:val="20"/>
          <w:color w:val="auto"/>
        </w:rPr>
      </w:pPr>
    </w:p>
    <w:p>
      <w:pPr>
        <w:jc w:val="both"/>
        <w:ind w:firstLine="1919"/>
        <w:spacing w:after="0" w:line="260" w:lineRule="auto"/>
        <w:tabs>
          <w:tab w:leader="none" w:pos="2289" w:val="left"/>
        </w:tabs>
        <w:numPr>
          <w:ilvl w:val="0"/>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amounts payable under this Section 5.2, to the extent taxable, shall be paid or commence to be paid within 60 days after the date of 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shall be paid or commence to be paid in the second calendar year by the last day of such 60-day period.</w:t>
      </w:r>
    </w:p>
    <w:p>
      <w:pPr>
        <w:spacing w:after="0" w:line="200" w:lineRule="exact"/>
        <w:rPr>
          <w:sz w:val="20"/>
          <w:szCs w:val="20"/>
          <w:color w:val="auto"/>
        </w:rPr>
      </w:pPr>
    </w:p>
    <w:p>
      <w:pPr>
        <w:spacing w:after="0" w:line="218" w:lineRule="exact"/>
        <w:rPr>
          <w:sz w:val="20"/>
          <w:szCs w:val="20"/>
          <w:color w:val="auto"/>
        </w:rPr>
      </w:pPr>
    </w:p>
    <w:p>
      <w:pPr>
        <w:ind w:right="460" w:firstLine="1277"/>
        <w:spacing w:after="0" w:line="291" w:lineRule="auto"/>
        <w:rPr>
          <w:sz w:val="20"/>
          <w:szCs w:val="20"/>
          <w:color w:val="auto"/>
        </w:rPr>
      </w:pPr>
      <w:r>
        <w:rPr>
          <w:rFonts w:ascii="Times New Roman" w:cs="Times New Roman" w:eastAsia="Times New Roman" w:hAnsi="Times New Roman"/>
          <w:sz w:val="21"/>
          <w:szCs w:val="21"/>
          <w:b w:val="1"/>
          <w:bCs w:val="1"/>
          <w:color w:val="auto"/>
        </w:rPr>
        <w:t>5.3 Severance Pay and Benefits Upon Termination Without Cause or Resignation for Good Reason Within the Change of Control Period.</w:t>
      </w:r>
    </w:p>
    <w:p>
      <w:pPr>
        <w:spacing w:after="0" w:line="137" w:lineRule="exact"/>
        <w:rPr>
          <w:sz w:val="20"/>
          <w:szCs w:val="20"/>
          <w:color w:val="auto"/>
        </w:rPr>
      </w:pPr>
    </w:p>
    <w:p>
      <w:pPr>
        <w:jc w:val="both"/>
        <w:ind w:right="20" w:firstLine="1919"/>
        <w:spacing w:after="0" w:line="263" w:lineRule="auto"/>
        <w:tabs>
          <w:tab w:leader="none" w:pos="2291" w:val="left"/>
        </w:tabs>
        <w:numPr>
          <w:ilvl w:val="0"/>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provisions of this Section 5.3 shall apply in lieu of, and expressly supersede, the provisions of Section 5.2 regarding severance pay and benefits upon a termination of employment by the Company without Cause or by Executive for Good Reason if such termination of employment occurs on or within 12 months after the occurrence of the first event constituting a Change of Control (such period, the “</w:t>
      </w:r>
      <w:r>
        <w:rPr>
          <w:rFonts w:ascii="Times New Roman" w:cs="Times New Roman" w:eastAsia="Times New Roman" w:hAnsi="Times New Roman"/>
          <w:sz w:val="21"/>
          <w:szCs w:val="21"/>
          <w:b w:val="1"/>
          <w:bCs w:val="1"/>
          <w:color w:val="auto"/>
        </w:rPr>
        <w:t>Change of Control Period</w:t>
      </w:r>
      <w:r>
        <w:rPr>
          <w:rFonts w:ascii="Times New Roman" w:cs="Times New Roman" w:eastAsia="Times New Roman" w:hAnsi="Times New Roman"/>
          <w:sz w:val="21"/>
          <w:szCs w:val="21"/>
          <w:color w:val="auto"/>
        </w:rPr>
        <w:t>”). These provisions shall terminate and be of no further force or effect after the Change of Control Period</w:t>
      </w:r>
    </w:p>
    <w:p>
      <w:pPr>
        <w:spacing w:after="0" w:line="167" w:lineRule="exact"/>
        <w:rPr>
          <w:rFonts w:ascii="Times New Roman" w:cs="Times New Roman" w:eastAsia="Times New Roman" w:hAnsi="Times New Roman"/>
          <w:sz w:val="21"/>
          <w:szCs w:val="21"/>
          <w:b w:val="1"/>
          <w:bCs w:val="1"/>
          <w:color w:val="auto"/>
        </w:rPr>
      </w:pPr>
    </w:p>
    <w:p>
      <w:pPr>
        <w:jc w:val="both"/>
        <w:ind w:right="20" w:firstLine="1919"/>
        <w:spacing w:after="0" w:line="266" w:lineRule="auto"/>
        <w:tabs>
          <w:tab w:leader="none" w:pos="2297" w:val="left"/>
        </w:tabs>
        <w:numPr>
          <w:ilvl w:val="0"/>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that Executive’s employment with the Company is terminated by the Company without Cause or by Executive for Good Reason, in either case during the Change of Control Period, then, provided Executive remains in compliance with the terms of this Agreement, the Company shall provide Executive with the following severance benefits:</w:t>
      </w:r>
    </w:p>
    <w:p>
      <w:pPr>
        <w:spacing w:after="0" w:line="200" w:lineRule="exact"/>
        <w:rPr>
          <w:rFonts w:ascii="Times New Roman" w:cs="Times New Roman" w:eastAsia="Times New Roman" w:hAnsi="Times New Roman"/>
          <w:sz w:val="21"/>
          <w:szCs w:val="21"/>
          <w:b w:val="1"/>
          <w:bCs w:val="1"/>
          <w:color w:val="auto"/>
        </w:rPr>
      </w:pPr>
    </w:p>
    <w:p>
      <w:pPr>
        <w:spacing w:after="0" w:line="235" w:lineRule="exact"/>
        <w:rPr>
          <w:rFonts w:ascii="Times New Roman" w:cs="Times New Roman" w:eastAsia="Times New Roman" w:hAnsi="Times New Roman"/>
          <w:sz w:val="21"/>
          <w:szCs w:val="21"/>
          <w:b w:val="1"/>
          <w:bCs w:val="1"/>
          <w:color w:val="auto"/>
        </w:rPr>
      </w:pPr>
    </w:p>
    <w:p>
      <w:pPr>
        <w:jc w:val="both"/>
        <w:ind w:firstLine="2558"/>
        <w:spacing w:after="0" w:line="263" w:lineRule="auto"/>
        <w:tabs>
          <w:tab w:leader="none" w:pos="2937" w:val="left"/>
        </w:tabs>
        <w:numPr>
          <w:ilvl w:val="1"/>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shall pay Executive, as severance, a lump sum in cash in an amount equal to one (1) times the sum of (A) Executive’s then current Base Salary (or Executive’s Base Salary in effect immediately prior to the Change of Control, if higher) plus (B) Executive’s Annual Bonus for the then-current year (or Executive’s Annual Bonus in effect immediately prior to the Change of Control, if higher) (the “</w:t>
      </w:r>
      <w:r>
        <w:rPr>
          <w:rFonts w:ascii="Times New Roman" w:cs="Times New Roman" w:eastAsia="Times New Roman" w:hAnsi="Times New Roman"/>
          <w:sz w:val="21"/>
          <w:szCs w:val="21"/>
          <w:b w:val="1"/>
          <w:bCs w:val="1"/>
          <w:color w:val="auto"/>
        </w:rPr>
        <w:t>Change of Control Severance</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b w:val="1"/>
          <w:bCs w:val="1"/>
          <w:color w:val="auto"/>
        </w:rPr>
      </w:pPr>
    </w:p>
    <w:p>
      <w:pPr>
        <w:jc w:val="both"/>
        <w:ind w:right="20" w:firstLine="2558"/>
        <w:spacing w:after="0" w:line="276" w:lineRule="auto"/>
        <w:tabs>
          <w:tab w:leader="none" w:pos="2936" w:val="left"/>
        </w:tabs>
        <w:numPr>
          <w:ilvl w:val="1"/>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anything to the contrary in any applicable option agreement or other stock-based award agreement, all time-based stock options and other stock-based awards subject to time-based vesting held by Executive (the</w:t>
      </w:r>
    </w:p>
    <w:p>
      <w:pPr>
        <w:sectPr>
          <w:pgSz w:w="11900" w:h="16838" w:orient="portrait"/>
          <w:cols w:equalWidth="0" w:num="1">
            <w:col w:w="10740"/>
          </w:cols>
          <w:pgMar w:left="580" w:top="1440" w:right="579" w:bottom="1440" w:gutter="0" w:footer="0" w:header="0"/>
        </w:sectPr>
      </w:pPr>
    </w:p>
    <w:bookmarkStart w:id="165" w:name="page166"/>
    <w:bookmarkEnd w:id="165"/>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Time-Based Equity Awards</w:t>
      </w:r>
      <w:r>
        <w:rPr>
          <w:rFonts w:ascii="Times New Roman" w:cs="Times New Roman" w:eastAsia="Times New Roman" w:hAnsi="Times New Roman"/>
          <w:sz w:val="21"/>
          <w:szCs w:val="21"/>
          <w:color w:val="auto"/>
        </w:rPr>
        <w:t>”) shall immediately accelerate and become fully exercisable or nonforfeitable as of the later of</w:t>
      </w:r>
    </w:p>
    <w:p>
      <w:pPr>
        <w:spacing w:after="0" w:line="39" w:lineRule="exact"/>
        <w:rPr>
          <w:sz w:val="20"/>
          <w:szCs w:val="20"/>
          <w:color w:val="auto"/>
        </w:rPr>
      </w:pPr>
    </w:p>
    <w:p>
      <w:pPr>
        <w:jc w:val="both"/>
        <w:ind w:right="240" w:firstLine="2"/>
        <w:spacing w:after="0" w:line="255" w:lineRule="auto"/>
        <w:tabs>
          <w:tab w:leader="none" w:pos="25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of termination or (ii) the effective date of the Separation Agreement (as defined below) (the “</w:t>
      </w:r>
      <w:r>
        <w:rPr>
          <w:rFonts w:ascii="Times New Roman" w:cs="Times New Roman" w:eastAsia="Times New Roman" w:hAnsi="Times New Roman"/>
          <w:sz w:val="21"/>
          <w:szCs w:val="21"/>
          <w:b w:val="1"/>
          <w:bCs w:val="1"/>
          <w:color w:val="auto"/>
        </w:rPr>
        <w:t>Accelerated Vesting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any termination or forfeiture of the unvested portion of such Time-Based Equity Awards that would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occur on the date of termination in the absence of this Agreement will</w:t>
      </w:r>
    </w:p>
    <w:p>
      <w:pPr>
        <w:spacing w:after="0" w:line="2" w:lineRule="exact"/>
        <w:rPr>
          <w:rFonts w:ascii="Times New Roman" w:cs="Times New Roman" w:eastAsia="Times New Roman" w:hAnsi="Times New Roman"/>
          <w:sz w:val="21"/>
          <w:szCs w:val="21"/>
          <w:color w:val="auto"/>
        </w:rPr>
      </w:pPr>
    </w:p>
    <w:p>
      <w:pPr>
        <w:jc w:val="both"/>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delayed until the effective date of the Separation Agreement and will only occur if the vesting pursuant to this subsection does not occur due to the absence of the Separation Agreement becoming fully effective within the time period set forth therein. Notwithstanding the foregoing, no additional vesting of the Time-Based Equity Awards shall occur during the period between Executive’s date of termination and the Accelerated Vesting Date.</w:t>
      </w:r>
    </w:p>
    <w:p>
      <w:pPr>
        <w:spacing w:after="0" w:line="171" w:lineRule="exact"/>
        <w:rPr>
          <w:rFonts w:ascii="Times New Roman" w:cs="Times New Roman" w:eastAsia="Times New Roman" w:hAnsi="Times New Roman"/>
          <w:sz w:val="21"/>
          <w:szCs w:val="21"/>
          <w:color w:val="auto"/>
        </w:rPr>
      </w:pPr>
    </w:p>
    <w:p>
      <w:pPr>
        <w:jc w:val="both"/>
        <w:ind w:right="240" w:firstLine="2558"/>
        <w:spacing w:after="0" w:line="257" w:lineRule="auto"/>
        <w:tabs>
          <w:tab w:leader="none" w:pos="2938" w:val="left"/>
        </w:tabs>
        <w:numPr>
          <w:ilvl w:val="2"/>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Times New Roman" w:cs="Times New Roman" w:eastAsia="Times New Roman" w:hAnsi="Times New Roman"/>
          <w:sz w:val="21"/>
          <w:szCs w:val="21"/>
          <w:b w:val="1"/>
          <w:bCs w:val="1"/>
          <w:color w:val="auto"/>
        </w:rPr>
        <w:t>COC COBRA Premiums</w:t>
      </w:r>
      <w:r>
        <w:rPr>
          <w:rFonts w:ascii="Times New Roman" w:cs="Times New Roman" w:eastAsia="Times New Roman" w:hAnsi="Times New Roman"/>
          <w:sz w:val="21"/>
          <w:szCs w:val="21"/>
          <w:color w:val="auto"/>
        </w:rPr>
        <w:t>”) through the period (the “</w:t>
      </w:r>
      <w:r>
        <w:rPr>
          <w:rFonts w:ascii="Times New Roman" w:cs="Times New Roman" w:eastAsia="Times New Roman" w:hAnsi="Times New Roman"/>
          <w:sz w:val="21"/>
          <w:szCs w:val="21"/>
          <w:b w:val="1"/>
          <w:bCs w:val="1"/>
          <w:color w:val="auto"/>
        </w:rPr>
        <w:t>COC COBRA Premium Period</w:t>
      </w:r>
      <w:r>
        <w:rPr>
          <w:rFonts w:ascii="Times New Roman" w:cs="Times New Roman" w:eastAsia="Times New Roman" w:hAnsi="Times New Roman"/>
          <w:sz w:val="21"/>
          <w:szCs w:val="21"/>
          <w:color w:val="auto"/>
        </w:rPr>
        <w:t>”) starting on Executive’s date of termination and ending on the earliest to occur of: (i) the twelve (12) month anniversary of Executive’s date of termination;</w:t>
      </w:r>
    </w:p>
    <w:p>
      <w:pPr>
        <w:spacing w:after="0" w:line="3" w:lineRule="exact"/>
        <w:rPr>
          <w:rFonts w:ascii="Times New Roman" w:cs="Times New Roman" w:eastAsia="Times New Roman" w:hAnsi="Times New Roman"/>
          <w:sz w:val="21"/>
          <w:szCs w:val="21"/>
          <w:b w:val="1"/>
          <w:bCs w:val="1"/>
          <w:color w:val="auto"/>
        </w:rPr>
      </w:pPr>
    </w:p>
    <w:p>
      <w:pPr>
        <w:jc w:val="both"/>
        <w:ind w:right="260" w:firstLine="2"/>
        <w:spacing w:after="0" w:line="255" w:lineRule="auto"/>
        <w:tabs>
          <w:tab w:leader="none" w:pos="353"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COC COBRA Premium Period, Executive must immediately notify the Company of such event. Notwithstanding the foregoing, if the Company determines, in its sole discretion, that it cannot pay the COC COBRA Premiums without potentially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Times New Roman" w:cs="Times New Roman" w:eastAsia="Times New Roman" w:hAnsi="Times New Roman"/>
          <w:sz w:val="21"/>
          <w:szCs w:val="21"/>
          <w:b w:val="1"/>
          <w:bCs w:val="1"/>
          <w:color w:val="auto"/>
        </w:rPr>
        <w:t>COC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Special Cash Payment</w:t>
      </w:r>
      <w:r>
        <w:rPr>
          <w:rFonts w:ascii="Times New Roman" w:cs="Times New Roman" w:eastAsia="Times New Roman" w:hAnsi="Times New Roman"/>
          <w:sz w:val="21"/>
          <w:szCs w:val="21"/>
          <w:color w:val="auto"/>
        </w:rPr>
        <w:t>”), for the remainder of the COC COBRA Premium Period. Executive may, but is not obligated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use such COC Special Cash Payments toward the cost of COBRA premiums.</w:t>
      </w:r>
    </w:p>
    <w:p>
      <w:pPr>
        <w:spacing w:after="0" w:line="175" w:lineRule="exact"/>
        <w:rPr>
          <w:rFonts w:ascii="Times New Roman" w:cs="Times New Roman" w:eastAsia="Times New Roman" w:hAnsi="Times New Roman"/>
          <w:sz w:val="21"/>
          <w:szCs w:val="21"/>
          <w:color w:val="auto"/>
        </w:rPr>
      </w:pPr>
    </w:p>
    <w:p>
      <w:pPr>
        <w:jc w:val="both"/>
        <w:ind w:right="260" w:firstLine="1919"/>
        <w:spacing w:after="0" w:line="263" w:lineRule="auto"/>
        <w:tabs>
          <w:tab w:leader="none" w:pos="2289" w:val="left"/>
        </w:tabs>
        <w:numPr>
          <w:ilvl w:val="1"/>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amounts payable under this Section 5.3, to the extent taxable, shall be paid or commence to be paid within 60 days after the date of 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63" w:lineRule="exact"/>
        <w:rPr>
          <w:rFonts w:ascii="Times New Roman" w:cs="Times New Roman" w:eastAsia="Times New Roman" w:hAnsi="Times New Roman"/>
          <w:sz w:val="21"/>
          <w:szCs w:val="21"/>
          <w:b w:val="1"/>
          <w:bCs w:val="1"/>
          <w:color w:val="auto"/>
        </w:rPr>
      </w:pPr>
    </w:p>
    <w:p>
      <w:pPr>
        <w:ind w:left="2540" w:hanging="621"/>
        <w:spacing w:after="0"/>
        <w:tabs>
          <w:tab w:leader="none" w:pos="2540" w:val="left"/>
        </w:tabs>
        <w:numPr>
          <w:ilvl w:val="1"/>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Additional Limitation.</w:t>
      </w:r>
    </w:p>
    <w:p>
      <w:pPr>
        <w:spacing w:after="0" w:line="228" w:lineRule="exact"/>
        <w:rPr>
          <w:rFonts w:ascii="Times New Roman" w:cs="Times New Roman" w:eastAsia="Times New Roman" w:hAnsi="Times New Roman"/>
          <w:sz w:val="21"/>
          <w:szCs w:val="21"/>
          <w:b w:val="1"/>
          <w:bCs w:val="1"/>
          <w:color w:val="auto"/>
        </w:rPr>
      </w:pPr>
    </w:p>
    <w:p>
      <w:pPr>
        <w:ind w:right="260" w:firstLine="2558"/>
        <w:spacing w:after="0" w:line="287" w:lineRule="auto"/>
        <w:tabs>
          <w:tab w:leader="none" w:pos="2937" w:val="left"/>
        </w:tabs>
        <w:numPr>
          <w:ilvl w:val="2"/>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Anything in this Agreement to the contrary notwithstanding, in the event that the amount of any compensation, payment or distribution</w:t>
      </w:r>
    </w:p>
    <w:p>
      <w:pPr>
        <w:sectPr>
          <w:pgSz w:w="11900" w:h="16838" w:orient="portrait"/>
          <w:cols w:equalWidth="0" w:num="1">
            <w:col w:w="10980"/>
          </w:cols>
          <w:pgMar w:left="580" w:top="1440" w:right="339" w:bottom="1440" w:gutter="0" w:footer="0" w:header="0"/>
        </w:sectPr>
      </w:pPr>
    </w:p>
    <w:bookmarkStart w:id="166" w:name="page167"/>
    <w:bookmarkEnd w:id="166"/>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1"/>
          <w:szCs w:val="21"/>
          <w:b w:val="1"/>
          <w:bCs w:val="1"/>
          <w:color w:val="auto"/>
        </w:rPr>
        <w:t>Aggregate Payments</w:t>
      </w:r>
      <w:r>
        <w:rPr>
          <w:rFonts w:ascii="Times New Roman" w:cs="Times New Roman" w:eastAsia="Times New Roman" w:hAnsi="Times New Roman"/>
          <w:sz w:val="21"/>
          <w:szCs w:val="21"/>
          <w:color w:val="auto"/>
        </w:rPr>
        <w:t xml:space="preserve">”),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4" w:lineRule="exact"/>
        <w:rPr>
          <w:sz w:val="20"/>
          <w:szCs w:val="20"/>
          <w:color w:val="auto"/>
        </w:rPr>
      </w:pPr>
    </w:p>
    <w:p>
      <w:pPr>
        <w:jc w:val="both"/>
        <w:ind w:firstLine="2558"/>
        <w:spacing w:after="0" w:line="260" w:lineRule="auto"/>
        <w:tabs>
          <w:tab w:leader="none" w:pos="2936" w:val="left"/>
        </w:tabs>
        <w:numPr>
          <w:ilvl w:val="0"/>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purposes of this Section 5.3(iv), the “</w:t>
      </w:r>
      <w:r>
        <w:rPr>
          <w:rFonts w:ascii="Times New Roman" w:cs="Times New Roman" w:eastAsia="Times New Roman" w:hAnsi="Times New Roman"/>
          <w:sz w:val="21"/>
          <w:szCs w:val="21"/>
          <w:b w:val="1"/>
          <w:bCs w:val="1"/>
          <w:color w:val="auto"/>
        </w:rPr>
        <w:t>After Tax Amount</w:t>
      </w:r>
      <w:r>
        <w:rPr>
          <w:rFonts w:ascii="Times New Roman" w:cs="Times New Roman" w:eastAsia="Times New Roman" w:hAnsi="Times New Roman"/>
          <w:sz w:val="21"/>
          <w:szCs w:val="21"/>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69" w:lineRule="exact"/>
        <w:rPr>
          <w:rFonts w:ascii="Times New Roman" w:cs="Times New Roman" w:eastAsia="Times New Roman" w:hAnsi="Times New Roman"/>
          <w:sz w:val="21"/>
          <w:szCs w:val="21"/>
          <w:b w:val="1"/>
          <w:bCs w:val="1"/>
          <w:color w:val="auto"/>
        </w:rPr>
      </w:pPr>
    </w:p>
    <w:p>
      <w:pPr>
        <w:jc w:val="both"/>
        <w:ind w:right="20" w:firstLine="2558"/>
        <w:spacing w:after="0" w:line="263" w:lineRule="auto"/>
        <w:tabs>
          <w:tab w:leader="none" w:pos="2938" w:val="left"/>
        </w:tabs>
        <w:numPr>
          <w:ilvl w:val="0"/>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determination as to whether a reduction in the Aggregate Payments shall be made pursuant to Section 5.3(iv)(a) shall be made by a nationally recognized accounting firm selected by the Company (the “</w:t>
      </w:r>
      <w:r>
        <w:rPr>
          <w:rFonts w:ascii="Times New Roman" w:cs="Times New Roman" w:eastAsia="Times New Roman" w:hAnsi="Times New Roman"/>
          <w:sz w:val="21"/>
          <w:szCs w:val="21"/>
          <w:b w:val="1"/>
          <w:bCs w:val="1"/>
          <w:color w:val="auto"/>
        </w:rPr>
        <w:t>Accounting Firm</w:t>
      </w:r>
      <w:r>
        <w:rPr>
          <w:rFonts w:ascii="Times New Roman" w:cs="Times New Roman" w:eastAsia="Times New Roman" w:hAnsi="Times New Roman"/>
          <w:sz w:val="21"/>
          <w:szCs w:val="21"/>
          <w:color w:val="auto"/>
        </w:rPr>
        <w:t>”), which shall provide detailed supporting calculations both to the Company and Executive within 15 business days of the date of termination, if applicable, or at such earlier time as is reasonably requested by the Company or Executive. Any determination by the Accounting Firm shall be binding upon the Company and Executive.</w:t>
      </w:r>
    </w:p>
    <w:p>
      <w:pPr>
        <w:spacing w:after="0" w:line="164"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1"/>
          <w:szCs w:val="21"/>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Termination for Cause; Resignation without Good Reason; Death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or Disability.</w:t>
      </w:r>
    </w:p>
    <w:p>
      <w:pPr>
        <w:spacing w:after="0" w:line="200" w:lineRule="exact"/>
        <w:rPr>
          <w:sz w:val="20"/>
          <w:szCs w:val="20"/>
          <w:color w:val="auto"/>
        </w:rPr>
      </w:pPr>
    </w:p>
    <w:p>
      <w:pPr>
        <w:ind w:left="2540" w:hanging="621"/>
        <w:spacing w:after="0"/>
        <w:tabs>
          <w:tab w:leader="none" w:pos="2540"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may terminate Executive’s employment with</w:t>
      </w:r>
    </w:p>
    <w:p>
      <w:pPr>
        <w:spacing w:after="0" w:line="3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the Company at any time for Cause. Further, Executive may resign at any time for any reason other than Good Reason. Executive’s employment with the Company may also be terminated due to Executive’s death or Disability (as defined below).</w:t>
      </w:r>
    </w:p>
    <w:p>
      <w:pPr>
        <w:sectPr>
          <w:pgSz w:w="11900" w:h="16838" w:orient="portrait"/>
          <w:cols w:equalWidth="0" w:num="1">
            <w:col w:w="10740"/>
          </w:cols>
          <w:pgMar w:left="580" w:top="1440" w:right="579" w:bottom="1440" w:gutter="0" w:footer="0" w:header="0"/>
        </w:sectPr>
      </w:pPr>
    </w:p>
    <w:bookmarkStart w:id="167" w:name="page168"/>
    <w:bookmarkEnd w:id="167"/>
    <w:p>
      <w:pPr>
        <w:spacing w:after="0" w:line="84" w:lineRule="exact"/>
        <w:rPr>
          <w:sz w:val="20"/>
          <w:szCs w:val="20"/>
          <w:color w:val="auto"/>
        </w:rPr>
      </w:pPr>
    </w:p>
    <w:p>
      <w:pPr>
        <w:ind w:right="20" w:firstLine="1919"/>
        <w:spacing w:after="0" w:line="263" w:lineRule="auto"/>
        <w:tabs>
          <w:tab w:leader="none" w:pos="2297" w:val="left"/>
        </w:tabs>
        <w:numPr>
          <w:ilvl w:val="2"/>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Executive resigns without Good Reason, or the Company terminates Executive’s employment for Cause, or upon Executive’s death or Disability, then</w:t>
      </w:r>
    </w:p>
    <w:p>
      <w:pPr>
        <w:spacing w:after="0" w:line="1" w:lineRule="exact"/>
        <w:rPr>
          <w:rFonts w:ascii="Times New Roman" w:cs="Times New Roman" w:eastAsia="Times New Roman" w:hAnsi="Times New Roman"/>
          <w:sz w:val="21"/>
          <w:szCs w:val="21"/>
          <w:b w:val="1"/>
          <w:bCs w:val="1"/>
          <w:color w:val="auto"/>
        </w:rPr>
      </w:pPr>
    </w:p>
    <w:p>
      <w:pPr>
        <w:jc w:val="both"/>
        <w:ind w:right="20" w:firstLine="2"/>
        <w:spacing w:after="0" w:line="263" w:lineRule="auto"/>
        <w:tabs>
          <w:tab w:leader="none" w:pos="26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of compensation by the Company to Executive hereunder will terminate immediately (except as to amounts already earned), and (ii) Executive will not be entitled to any severance benefits, including (without limitation) the Severance, COBRA Premiums, the Change of Control Severance or the COC COBRA Premiums.</w:t>
      </w:r>
    </w:p>
    <w:p>
      <w:pPr>
        <w:spacing w:after="0" w:line="29" w:lineRule="exact"/>
        <w:rPr>
          <w:rFonts w:ascii="Times New Roman" w:cs="Times New Roman" w:eastAsia="Times New Roman" w:hAnsi="Times New Roman"/>
          <w:sz w:val="21"/>
          <w:szCs w:val="21"/>
          <w:color w:val="auto"/>
        </w:rPr>
      </w:pPr>
    </w:p>
    <w:p>
      <w:pPr>
        <w:jc w:val="both"/>
        <w:ind w:right="20" w:firstLine="640"/>
        <w:spacing w:after="0" w:line="256" w:lineRule="auto"/>
        <w:tabs>
          <w:tab w:leader="none" w:pos="1011" w:val="left"/>
        </w:tabs>
        <w:numPr>
          <w:ilvl w:val="1"/>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Conditions to Receipt of Severance, COBRA Premiums, Special Cash Payments and Vesting Acceleration. </w:t>
      </w:r>
      <w:r>
        <w:rPr>
          <w:rFonts w:ascii="Times New Roman" w:cs="Times New Roman" w:eastAsia="Times New Roman" w:hAnsi="Times New Roman"/>
          <w:sz w:val="21"/>
          <w:szCs w:val="21"/>
          <w:color w:val="auto"/>
        </w:rPr>
        <w:t>The receipt of the payments and benefits described in Section 5.2 and Section 5.3 will be subject to subject to (i) Executive signing a separation agreement and release in a form and manner satisfactory to the Company, which shall include, without limitation, a general release of claims against the Company and all related persons and entities and, in the Company’s sole discretion, a one-year post-employment noncompetition agreement (the “</w:t>
      </w:r>
      <w:r>
        <w:rPr>
          <w:rFonts w:ascii="Times New Roman" w:cs="Times New Roman" w:eastAsia="Times New Roman" w:hAnsi="Times New Roman"/>
          <w:sz w:val="21"/>
          <w:szCs w:val="21"/>
          <w:b w:val="1"/>
          <w:bCs w:val="1"/>
          <w:color w:val="auto"/>
        </w:rPr>
        <w:t>Separation Agreement”</w:t>
      </w:r>
      <w:r>
        <w:rPr>
          <w:rFonts w:ascii="Times New Roman" w:cs="Times New Roman" w:eastAsia="Times New Roman" w:hAnsi="Times New Roman"/>
          <w:sz w:val="21"/>
          <w:szCs w:val="21"/>
          <w:color w:val="auto"/>
        </w:rPr>
        <w:t>) and (ii) the Separation Agreement becoming irrevocable, all within 60 days after the date of termination (or such shorter period as set forth in the Separation Agreement), which shall include a seven business day revocation period. No amounts will be paid or provided under Section 5.2 or Section</w:t>
      </w:r>
    </w:p>
    <w:p>
      <w:pPr>
        <w:spacing w:after="0" w:line="4" w:lineRule="exact"/>
        <w:rPr>
          <w:rFonts w:ascii="Times New Roman" w:cs="Times New Roman" w:eastAsia="Times New Roman" w:hAnsi="Times New Roman"/>
          <w:sz w:val="21"/>
          <w:szCs w:val="21"/>
          <w:b w:val="1"/>
          <w:bCs w:val="1"/>
          <w:color w:val="auto"/>
        </w:rPr>
      </w:pPr>
    </w:p>
    <w:p>
      <w:pPr>
        <w:jc w:val="both"/>
        <w:ind w:right="20"/>
        <w:spacing w:after="0" w:line="25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5.3 until the Separation Agreement becomes effective. Executive shall be deemed to have resigned from all officer and board member positions that the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67" w:lineRule="exact"/>
        <w:rPr>
          <w:rFonts w:ascii="Times New Roman" w:cs="Times New Roman" w:eastAsia="Times New Roman" w:hAnsi="Times New Roman"/>
          <w:sz w:val="21"/>
          <w:szCs w:val="21"/>
          <w:b w:val="1"/>
          <w:bCs w:val="1"/>
          <w:color w:val="auto"/>
        </w:rPr>
      </w:pPr>
    </w:p>
    <w:p>
      <w:pPr>
        <w:ind w:left="1280" w:hanging="639"/>
        <w:spacing w:after="0"/>
        <w:tabs>
          <w:tab w:leader="none" w:pos="1280" w:val="left"/>
        </w:tabs>
        <w:numPr>
          <w:ilvl w:val="1"/>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409A.</w:t>
      </w:r>
    </w:p>
    <w:p>
      <w:pPr>
        <w:spacing w:after="0" w:line="224" w:lineRule="exact"/>
        <w:rPr>
          <w:rFonts w:ascii="Times New Roman" w:cs="Times New Roman" w:eastAsia="Times New Roman" w:hAnsi="Times New Roman"/>
          <w:sz w:val="21"/>
          <w:szCs w:val="21"/>
          <w:b w:val="1"/>
          <w:bCs w:val="1"/>
          <w:color w:val="auto"/>
        </w:rPr>
      </w:pPr>
    </w:p>
    <w:p>
      <w:pPr>
        <w:ind w:left="128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7.1 </w:t>
      </w:r>
      <w:r>
        <w:rPr>
          <w:rFonts w:ascii="Times New Roman" w:cs="Times New Roman" w:eastAsia="Times New Roman" w:hAnsi="Times New Roman"/>
          <w:sz w:val="21"/>
          <w:szCs w:val="21"/>
          <w:color w:val="auto"/>
        </w:rPr>
        <w:t>Anything in this Agreement to the contrary notwithstanding, if at the time of Executive’s separation from</w:t>
      </w:r>
    </w:p>
    <w:p>
      <w:pPr>
        <w:spacing w:after="0" w:line="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Executive’s separation from service, or (B)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200" w:lineRule="exact"/>
        <w:rPr>
          <w:sz w:val="20"/>
          <w:szCs w:val="20"/>
          <w:color w:val="auto"/>
        </w:rPr>
      </w:pPr>
    </w:p>
    <w:p>
      <w:pPr>
        <w:spacing w:after="0" w:line="232" w:lineRule="exact"/>
        <w:rPr>
          <w:sz w:val="20"/>
          <w:szCs w:val="20"/>
          <w:color w:val="auto"/>
        </w:rPr>
      </w:pPr>
    </w:p>
    <w:p>
      <w:pPr>
        <w:jc w:val="both"/>
        <w:ind w:right="20" w:firstLine="1277"/>
        <w:spacing w:after="0" w:line="278" w:lineRule="auto"/>
        <w:rPr>
          <w:sz w:val="20"/>
          <w:szCs w:val="20"/>
          <w:color w:val="auto"/>
        </w:rPr>
      </w:pPr>
      <w:r>
        <w:rPr>
          <w:rFonts w:ascii="Times New Roman" w:cs="Times New Roman" w:eastAsia="Times New Roman" w:hAnsi="Times New Roman"/>
          <w:sz w:val="21"/>
          <w:szCs w:val="21"/>
          <w:b w:val="1"/>
          <w:bCs w:val="1"/>
          <w:color w:val="auto"/>
        </w:rPr>
        <w:t xml:space="preserve">7.2 </w:t>
      </w:r>
      <w:r>
        <w:rPr>
          <w:rFonts w:ascii="Times New Roman" w:cs="Times New Roman" w:eastAsia="Times New Roman" w:hAnsi="Times New Roman"/>
          <w:sz w:val="21"/>
          <w:szCs w:val="21"/>
          <w:color w:val="auto"/>
        </w:rPr>
        <w:t>All in-kind benefits provided and expenses eligible for reimbursement under this Agreement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by the Company or incurred by Executive during the time periods set forth in this Agreement. All reimbursements shall be paid as soon as administratively practicable, but in no event shall any reimbursement be paid after the last</w:t>
      </w:r>
    </w:p>
    <w:p>
      <w:pPr>
        <w:sectPr>
          <w:pgSz w:w="11900" w:h="16838" w:orient="portrait"/>
          <w:cols w:equalWidth="0" w:num="1">
            <w:col w:w="10740"/>
          </w:cols>
          <w:pgMar w:left="580" w:top="1440" w:right="579" w:bottom="1440" w:gutter="0" w:footer="0" w:header="0"/>
        </w:sectPr>
      </w:pPr>
    </w:p>
    <w:bookmarkStart w:id="168" w:name="page169"/>
    <w:bookmarkEnd w:id="168"/>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200" w:lineRule="exact"/>
        <w:rPr>
          <w:sz w:val="20"/>
          <w:szCs w:val="20"/>
          <w:color w:val="auto"/>
        </w:rPr>
      </w:pPr>
    </w:p>
    <w:p>
      <w:pPr>
        <w:spacing w:after="0" w:line="220" w:lineRule="exact"/>
        <w:rPr>
          <w:sz w:val="20"/>
          <w:szCs w:val="20"/>
          <w:color w:val="auto"/>
        </w:rPr>
      </w:pPr>
    </w:p>
    <w:p>
      <w:pPr>
        <w:jc w:val="both"/>
        <w:ind w:firstLine="127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7.3 </w:t>
      </w:r>
      <w:r>
        <w:rPr>
          <w:rFonts w:ascii="Times New Roman" w:cs="Times New Roman" w:eastAsia="Times New Roman" w:hAnsi="Times New Roman"/>
          <w:sz w:val="21"/>
          <w:szCs w:val="21"/>
          <w:color w:val="auto"/>
        </w:rPr>
        <w:t>To the extent that any payment or benefit described in this Agreement constitutes “non-qualified deferred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spacing w:after="0" w:line="163" w:lineRule="exact"/>
        <w:rPr>
          <w:sz w:val="20"/>
          <w:szCs w:val="20"/>
          <w:color w:val="auto"/>
        </w:rPr>
      </w:pPr>
    </w:p>
    <w:p>
      <w:pPr>
        <w:jc w:val="both"/>
        <w:ind w:firstLine="127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7.4 </w:t>
      </w:r>
      <w:r>
        <w:rPr>
          <w:rFonts w:ascii="Times New Roman" w:cs="Times New Roman" w:eastAsia="Times New Roman" w:hAnsi="Times New Roman"/>
          <w:sz w:val="21"/>
          <w:szCs w:val="21"/>
          <w:color w:val="auto"/>
        </w:rPr>
        <w:t>The parties intend that this Agreement will be administered in accordance with Section 409A of the Code.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9" w:lineRule="exact"/>
        <w:rPr>
          <w:sz w:val="20"/>
          <w:szCs w:val="20"/>
          <w:color w:val="auto"/>
        </w:rPr>
      </w:pPr>
    </w:p>
    <w:p>
      <w:pPr>
        <w:jc w:val="both"/>
        <w:ind w:firstLine="1277"/>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7.5 </w:t>
      </w:r>
      <w:r>
        <w:rPr>
          <w:rFonts w:ascii="Times New Roman" w:cs="Times New Roman" w:eastAsia="Times New Roman" w:hAnsi="Times New Roman"/>
          <w:sz w:val="21"/>
          <w:szCs w:val="21"/>
          <w:color w:val="auto"/>
        </w:rPr>
        <w:t>The Company makes no representation or warranty and shall have no liability to Executive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 if any provisions of this Agreement are determined to constitute deferred compensation subject to Section 409A of the Code but do not satisfy an exemption from, or the conditions of, such Section.</w:t>
      </w:r>
    </w:p>
    <w:p>
      <w:pPr>
        <w:spacing w:after="0" w:line="154" w:lineRule="exact"/>
        <w:rPr>
          <w:sz w:val="20"/>
          <w:szCs w:val="20"/>
          <w:color w:val="auto"/>
        </w:rPr>
      </w:pPr>
    </w:p>
    <w:p>
      <w:pPr>
        <w:ind w:left="1280" w:hanging="639"/>
        <w:spacing w:after="0"/>
        <w:tabs>
          <w:tab w:leader="none" w:pos="1280"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224" w:lineRule="exact"/>
        <w:rPr>
          <w:sz w:val="20"/>
          <w:szCs w:val="20"/>
          <w:color w:val="auto"/>
        </w:rPr>
      </w:pPr>
    </w:p>
    <w:p>
      <w:pPr>
        <w:jc w:val="both"/>
        <w:ind w:firstLine="1277"/>
        <w:spacing w:after="0" w:line="259" w:lineRule="auto"/>
        <w:rPr>
          <w:sz w:val="20"/>
          <w:szCs w:val="20"/>
          <w:color w:val="auto"/>
        </w:rPr>
      </w:pPr>
      <w:r>
        <w:rPr>
          <w:rFonts w:ascii="Times New Roman" w:cs="Times New Roman" w:eastAsia="Times New Roman" w:hAnsi="Times New Roman"/>
          <w:sz w:val="21"/>
          <w:szCs w:val="21"/>
          <w:b w:val="1"/>
          <w:bCs w:val="1"/>
          <w:color w:val="auto"/>
        </w:rPr>
        <w:t>8.1 Cause</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for termination will mean: (a) conviction of or plea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any felony or any crime involving dishonesty; (b) participation in any fraud against the Company; (c) material breach of any Company’s policy or procedure after written notice from the Company and a reasonable period of not less than twenty-one (21) calendar days in which to cure such breach (if deemed curable); (d) persistent failure or refusal to perform Executive’s job duties after written notice from the Company and a reasonable period of not less than twenty-one (21) calendar days in which to cure such performance issues (if deemed curable); (e) intentional damage to any property of the Company; (f) willful misconduct, or other violation of Company policy that causes harm; (g) breach of any written agreement by and between Executive and the Company; and (h) conduct by Executive which in the good faith and reasonable determination of the Company demonstrates gross unfitness to serve.</w:t>
      </w:r>
    </w:p>
    <w:p>
      <w:pPr>
        <w:sectPr>
          <w:pgSz w:w="11900" w:h="16838" w:orient="portrait"/>
          <w:cols w:equalWidth="0" w:num="1">
            <w:col w:w="10720"/>
          </w:cols>
          <w:pgMar w:left="580" w:top="1440" w:right="599" w:bottom="1440" w:gutter="0" w:footer="0" w:header="0"/>
        </w:sectPr>
      </w:pPr>
    </w:p>
    <w:bookmarkStart w:id="169" w:name="page170"/>
    <w:bookmarkEnd w:id="169"/>
    <w:p>
      <w:pPr>
        <w:spacing w:after="0" w:line="80" w:lineRule="exact"/>
        <w:rPr>
          <w:sz w:val="20"/>
          <w:szCs w:val="20"/>
          <w:color w:val="auto"/>
        </w:rPr>
      </w:pPr>
    </w:p>
    <w:p>
      <w:pPr>
        <w:jc w:val="both"/>
        <w:ind w:right="20" w:firstLine="1277"/>
        <w:spacing w:after="0" w:line="304" w:lineRule="auto"/>
        <w:rPr>
          <w:sz w:val="20"/>
          <w:szCs w:val="20"/>
          <w:color w:val="auto"/>
        </w:rPr>
      </w:pPr>
      <w:r>
        <w:rPr>
          <w:rFonts w:ascii="Times New Roman" w:cs="Times New Roman" w:eastAsia="Times New Roman" w:hAnsi="Times New Roman"/>
          <w:sz w:val="21"/>
          <w:szCs w:val="21"/>
          <w:b w:val="1"/>
          <w:bCs w:val="1"/>
          <w:color w:val="auto"/>
        </w:rPr>
        <w:t>8.2 Change of Control</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shall mean: a “Sale Event,”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defined in the Company’s 2020 Stock Option and Incentive Plan.</w:t>
      </w:r>
    </w:p>
    <w:p>
      <w:pPr>
        <w:spacing w:after="0" w:line="120" w:lineRule="exact"/>
        <w:rPr>
          <w:sz w:val="20"/>
          <w:szCs w:val="20"/>
          <w:color w:val="auto"/>
        </w:rPr>
      </w:pPr>
    </w:p>
    <w:p>
      <w:pPr>
        <w:jc w:val="both"/>
        <w:ind w:firstLine="1277"/>
        <w:spacing w:after="0" w:line="264" w:lineRule="auto"/>
        <w:rPr>
          <w:sz w:val="20"/>
          <w:szCs w:val="20"/>
          <w:color w:val="auto"/>
        </w:rPr>
      </w:pPr>
      <w:r>
        <w:rPr>
          <w:rFonts w:ascii="Times New Roman" w:cs="Times New Roman" w:eastAsia="Times New Roman" w:hAnsi="Times New Roman"/>
          <w:sz w:val="21"/>
          <w:szCs w:val="21"/>
          <w:b w:val="1"/>
          <w:bCs w:val="1"/>
          <w:color w:val="auto"/>
        </w:rPr>
        <w:t>8.3 Disability</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shall mean Executive’s physical or mental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condition that renders Executive unable to substantially perform for a period of ninety (90) aggregate days (regardless of whether or not continuous) during any three hundred sixty (360) day period, Executive’s regular responsibilities hereunder, with or without a reasonable accommodation.</w:t>
      </w:r>
    </w:p>
    <w:p>
      <w:pPr>
        <w:spacing w:after="0" w:line="29" w:lineRule="exact"/>
        <w:rPr>
          <w:sz w:val="20"/>
          <w:szCs w:val="20"/>
          <w:color w:val="auto"/>
        </w:rPr>
      </w:pPr>
    </w:p>
    <w:p>
      <w:pPr>
        <w:jc w:val="both"/>
        <w:ind w:firstLine="1277"/>
        <w:spacing w:after="0" w:line="257" w:lineRule="auto"/>
        <w:rPr>
          <w:sz w:val="20"/>
          <w:szCs w:val="20"/>
          <w:color w:val="auto"/>
        </w:rPr>
      </w:pPr>
      <w:r>
        <w:rPr>
          <w:rFonts w:ascii="Times New Roman" w:cs="Times New Roman" w:eastAsia="Times New Roman" w:hAnsi="Times New Roman"/>
          <w:sz w:val="21"/>
          <w:szCs w:val="21"/>
          <w:b w:val="1"/>
          <w:bCs w:val="1"/>
          <w:color w:val="auto"/>
        </w:rPr>
        <w:t>8.4 Good Reason</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(a) a material reduction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Base Salary (unless pursuant to a salary reduction applicable generally to the Company’s similarly situated employees); (b) the relocation of Executive’s place of work for the Company that is more than 40 miles from Executive’s primary place of work, unless mutually agreed upon; or (c) a material diminution in Executive’s responsibilities, authority, or duties. Notwithstanding the foregoing, no act or omission described in subclauses (a), (b) or (c) above shall constitute “Good Reason” unless: (1) Executive first gives the Company written notice of such act or omission within forty-five (45) days of the later of the occurrence of such act or omission or Executive’s first becoming aware thereof, (2) the Company fails to cure such act or omission within twenty-one (21) days after receiving such written notice from Executive, and (3) Executive resigns from employment (and all other positions, including as a member of the Board) within ten (10) days after the end of the cure period.</w:t>
      </w:r>
    </w:p>
    <w:p>
      <w:pPr>
        <w:spacing w:after="0" w:line="200" w:lineRule="exact"/>
        <w:rPr>
          <w:sz w:val="20"/>
          <w:szCs w:val="20"/>
          <w:color w:val="auto"/>
        </w:rPr>
      </w:pPr>
    </w:p>
    <w:p>
      <w:pPr>
        <w:spacing w:after="0" w:line="242" w:lineRule="exact"/>
        <w:rPr>
          <w:sz w:val="20"/>
          <w:szCs w:val="20"/>
          <w:color w:val="auto"/>
        </w:rPr>
      </w:pPr>
    </w:p>
    <w:p>
      <w:pPr>
        <w:ind w:left="1280" w:hanging="639"/>
        <w:spacing w:after="0"/>
        <w:tabs>
          <w:tab w:leader="none" w:pos="1280"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Obligations.</w:t>
      </w:r>
    </w:p>
    <w:p>
      <w:pPr>
        <w:spacing w:after="0" w:line="224" w:lineRule="exact"/>
        <w:rPr>
          <w:sz w:val="20"/>
          <w:szCs w:val="20"/>
          <w:color w:val="auto"/>
        </w:rPr>
      </w:pPr>
    </w:p>
    <w:p>
      <w:pPr>
        <w:jc w:val="both"/>
        <w:ind w:firstLine="127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9.1 Restrictive Covenants. </w:t>
      </w:r>
      <w:r>
        <w:rPr>
          <w:rFonts w:ascii="Times New Roman" w:cs="Times New Roman" w:eastAsia="Times New Roman" w:hAnsi="Times New Roman"/>
          <w:sz w:val="21"/>
          <w:szCs w:val="21"/>
          <w:color w:val="auto"/>
        </w:rPr>
        <w:t>In connection with Executive’s employment with the Company, Executive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continue to receive access to Company confidential information and trade secrets and develop valuable goodwill with the Company’s customers, partners and vendors. To protect the Company’s legitimate business interests, Executive will execute the Praxis Confidentiality, Assignment, Noncompetition and Nonsolicitation Agreement in conjunction with this Agreement (the “</w:t>
      </w:r>
      <w:r>
        <w:rPr>
          <w:rFonts w:ascii="Times New Roman" w:cs="Times New Roman" w:eastAsia="Times New Roman" w:hAnsi="Times New Roman"/>
          <w:sz w:val="21"/>
          <w:szCs w:val="21"/>
          <w:b w:val="1"/>
          <w:bCs w:val="1"/>
          <w:color w:val="auto"/>
        </w:rPr>
        <w:t>Confidentiality and Noncompetition Agreement</w:t>
      </w:r>
      <w:r>
        <w:rPr>
          <w:rFonts w:ascii="Times New Roman" w:cs="Times New Roman" w:eastAsia="Times New Roman" w:hAnsi="Times New Roman"/>
          <w:sz w:val="21"/>
          <w:szCs w:val="21"/>
          <w:color w:val="auto"/>
        </w:rPr>
        <w:t>”). Executive acknowledges and agrees that (i) the Confidentiality and Noncompetition Agreement shall continue in full force and effect in accordance with its terms, and (ii) Executive will abide by the terms of the Confidentiality and Noncompetition Agreement at all times.</w:t>
      </w:r>
    </w:p>
    <w:p>
      <w:pPr>
        <w:spacing w:after="0" w:line="166" w:lineRule="exact"/>
        <w:rPr>
          <w:sz w:val="20"/>
          <w:szCs w:val="20"/>
          <w:color w:val="auto"/>
        </w:rPr>
      </w:pPr>
    </w:p>
    <w:p>
      <w:pPr>
        <w:jc w:val="both"/>
        <w:ind w:right="20" w:firstLine="1277"/>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9.2 Third-Party Agreements and Information. </w:t>
      </w:r>
      <w:r>
        <w:rPr>
          <w:rFonts w:ascii="Times New Roman" w:cs="Times New Roman" w:eastAsia="Times New Roman" w:hAnsi="Times New Roman"/>
          <w:sz w:val="21"/>
          <w:szCs w:val="21"/>
          <w:color w:val="auto"/>
        </w:rPr>
        <w:t>Executive represents and warrants that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by the Company does not conflict with any prior employment or consulting agreement or other agreement with any third party, and that Executive will perform Executive’s duties to the Company without violating any such agreement. Executive represents and warrants that Executive will not use or disclose confidential information arising out of prior employment, consulting, or other third party relationships, in connection with Executive’s employment by the Company, except as expressly authorized by that third party. During Executive’s employment by the Company, Executive will use in the performance of Executive’s duties only information which is</w:t>
      </w:r>
    </w:p>
    <w:p>
      <w:pPr>
        <w:sectPr>
          <w:pgSz w:w="11900" w:h="16838" w:orient="portrait"/>
          <w:cols w:equalWidth="0" w:num="1">
            <w:col w:w="10740"/>
          </w:cols>
          <w:pgMar w:left="580" w:top="1440" w:right="579" w:bottom="1440" w:gutter="0" w:footer="0" w:header="0"/>
        </w:sectPr>
      </w:pPr>
    </w:p>
    <w:bookmarkStart w:id="170" w:name="page171"/>
    <w:bookmarkEnd w:id="170"/>
    <w:p>
      <w:pPr>
        <w:spacing w:after="0" w:line="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1"/>
          <w:szCs w:val="21"/>
          <w:color w:val="auto"/>
        </w:rPr>
        <w:t>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48" w:lineRule="exact"/>
        <w:rPr>
          <w:sz w:val="20"/>
          <w:szCs w:val="20"/>
          <w:color w:val="auto"/>
        </w:rPr>
      </w:pPr>
    </w:p>
    <w:p>
      <w:pPr>
        <w:ind w:left="1280" w:hanging="639"/>
        <w:spacing w:after="0"/>
        <w:tabs>
          <w:tab w:leader="none" w:pos="1280"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Outside Activities During Employment.</w:t>
      </w:r>
    </w:p>
    <w:p>
      <w:pPr>
        <w:spacing w:after="0" w:line="224" w:lineRule="exact"/>
        <w:rPr>
          <w:sz w:val="20"/>
          <w:szCs w:val="20"/>
          <w:color w:val="auto"/>
        </w:rPr>
      </w:pPr>
    </w:p>
    <w:p>
      <w:pPr>
        <w:jc w:val="both"/>
        <w:ind w:firstLine="1277"/>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10.1Non-Company Business. </w:t>
      </w:r>
      <w:r>
        <w:rPr>
          <w:rFonts w:ascii="Times New Roman" w:cs="Times New Roman" w:eastAsia="Times New Roman" w:hAnsi="Times New Roman"/>
          <w:sz w:val="21"/>
          <w:szCs w:val="21"/>
          <w:color w:val="auto"/>
        </w:rPr>
        <w:t>Except with the prior written consent of the Board, Executive will not during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 of Executive’s employment with the Company undertake or engage in any other employment, occupation or business enterprise, other than ones in which Executive is a passive investor. In any event, Executive may engage in civic and not-for-profit activities so long as such activities do not materially interfere with the performance of Executive’s duties hereunder.</w:t>
      </w:r>
    </w:p>
    <w:p>
      <w:pPr>
        <w:spacing w:after="0" w:line="200" w:lineRule="exact"/>
        <w:rPr>
          <w:sz w:val="20"/>
          <w:szCs w:val="20"/>
          <w:color w:val="auto"/>
        </w:rPr>
      </w:pPr>
    </w:p>
    <w:p>
      <w:pPr>
        <w:spacing w:after="0" w:line="220" w:lineRule="exact"/>
        <w:rPr>
          <w:sz w:val="20"/>
          <w:szCs w:val="20"/>
          <w:color w:val="auto"/>
        </w:rPr>
      </w:pPr>
    </w:p>
    <w:p>
      <w:pPr>
        <w:jc w:val="both"/>
        <w:ind w:firstLine="1277"/>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10.2 No Adverse Interests. </w:t>
      </w:r>
      <w:r>
        <w:rPr>
          <w:rFonts w:ascii="Times New Roman" w:cs="Times New Roman" w:eastAsia="Times New Roman" w:hAnsi="Times New Roman"/>
          <w:sz w:val="21"/>
          <w:szCs w:val="21"/>
          <w:color w:val="auto"/>
        </w:rPr>
        <w:t>Executive agrees not to acquire, assume or participate in, directly or indirectly,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position, investment or interest known to be adverse or antagonistic to the Company, its business or prospects, financial or otherwise.</w:t>
      </w:r>
    </w:p>
    <w:p>
      <w:pPr>
        <w:spacing w:after="0" w:line="167" w:lineRule="exact"/>
        <w:rPr>
          <w:sz w:val="20"/>
          <w:szCs w:val="20"/>
          <w:color w:val="auto"/>
        </w:rPr>
      </w:pPr>
    </w:p>
    <w:p>
      <w:pPr>
        <w:ind w:left="1260" w:hanging="619"/>
        <w:spacing w:after="0"/>
        <w:tabs>
          <w:tab w:leader="none" w:pos="1260"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224" w:lineRule="exact"/>
        <w:rPr>
          <w:sz w:val="20"/>
          <w:szCs w:val="20"/>
          <w:color w:val="auto"/>
        </w:rPr>
      </w:pPr>
    </w:p>
    <w:p>
      <w:pPr>
        <w:jc w:val="both"/>
        <w:ind w:firstLine="1277"/>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11.1 Notices. </w:t>
      </w:r>
      <w:r>
        <w:rPr>
          <w:rFonts w:ascii="Times New Roman" w:cs="Times New Roman" w:eastAsia="Times New Roman" w:hAnsi="Times New Roman"/>
          <w:sz w:val="21"/>
          <w:szCs w:val="21"/>
          <w:color w:val="auto"/>
        </w:rPr>
        <w:t>Any notices provided must be in writing and will be deemed effective upon the earlier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personal delivery (including personal delivery by fax) or the next day after sending by overnight carrier, to the Company at its primary office location and to Executive at the address as listed on the Company payroll.</w:t>
      </w:r>
    </w:p>
    <w:p>
      <w:pPr>
        <w:spacing w:after="0" w:line="154" w:lineRule="exact"/>
        <w:rPr>
          <w:sz w:val="20"/>
          <w:szCs w:val="20"/>
          <w:color w:val="auto"/>
        </w:rPr>
      </w:pPr>
    </w:p>
    <w:p>
      <w:pPr>
        <w:jc w:val="both"/>
        <w:ind w:firstLine="1277"/>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11.2 Severability. </w:t>
      </w:r>
      <w:r>
        <w:rPr>
          <w:rFonts w:ascii="Times New Roman" w:cs="Times New Roman" w:eastAsia="Times New Roman" w:hAnsi="Times New Roman"/>
          <w:sz w:val="21"/>
          <w:szCs w:val="21"/>
          <w:color w:val="auto"/>
        </w:rPr>
        <w:t>Whenever possible, each provision of this Agreement will be interpreted in such manner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63" w:lineRule="exact"/>
        <w:rPr>
          <w:sz w:val="20"/>
          <w:szCs w:val="20"/>
          <w:color w:val="auto"/>
        </w:rPr>
      </w:pPr>
    </w:p>
    <w:p>
      <w:pPr>
        <w:jc w:val="both"/>
        <w:ind w:firstLine="1277"/>
        <w:spacing w:after="0" w:line="278" w:lineRule="auto"/>
        <w:rPr>
          <w:sz w:val="20"/>
          <w:szCs w:val="20"/>
          <w:color w:val="auto"/>
        </w:rPr>
      </w:pPr>
      <w:r>
        <w:rPr>
          <w:rFonts w:ascii="Times New Roman" w:cs="Times New Roman" w:eastAsia="Times New Roman" w:hAnsi="Times New Roman"/>
          <w:sz w:val="21"/>
          <w:szCs w:val="21"/>
          <w:b w:val="1"/>
          <w:bCs w:val="1"/>
          <w:color w:val="auto"/>
        </w:rPr>
        <w:t xml:space="preserve">11.3 Waiver. </w:t>
      </w:r>
      <w:r>
        <w:rPr>
          <w:rFonts w:ascii="Times New Roman" w:cs="Times New Roman" w:eastAsia="Times New Roman" w:hAnsi="Times New Roman"/>
          <w:sz w:val="21"/>
          <w:szCs w:val="21"/>
          <w:color w:val="auto"/>
        </w:rPr>
        <w:t>Any waiver of any breach of any provisions of this Agreement must be in writing to be 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it shall not thereby be deemed to have waived any preceding or succeeding breach of the same or any other provision of this Agreement.</w:t>
      </w:r>
    </w:p>
    <w:p>
      <w:pPr>
        <w:spacing w:after="0" w:line="146" w:lineRule="exact"/>
        <w:rPr>
          <w:sz w:val="20"/>
          <w:szCs w:val="20"/>
          <w:color w:val="auto"/>
        </w:rPr>
      </w:pPr>
    </w:p>
    <w:p>
      <w:pPr>
        <w:jc w:val="both"/>
        <w:ind w:firstLine="127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11.4 Complete Agreement. </w:t>
      </w:r>
      <w:r>
        <w:rPr>
          <w:rFonts w:ascii="Times New Roman" w:cs="Times New Roman" w:eastAsia="Times New Roman" w:hAnsi="Times New Roman"/>
          <w:sz w:val="21"/>
          <w:szCs w:val="21"/>
          <w:color w:val="auto"/>
        </w:rPr>
        <w:t>This Agreement, together with the Confidentiality Agreement, constitutes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entire agreement between Executive and the Company and is the complete, final, and exclusive embodiment of the Parties’ agreement.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ectPr>
          <w:pgSz w:w="11900" w:h="16838" w:orient="portrait"/>
          <w:cols w:equalWidth="0" w:num="1">
            <w:col w:w="10720"/>
          </w:cols>
          <w:pgMar w:left="580" w:top="1440" w:right="599" w:bottom="1440" w:gutter="0" w:footer="0" w:header="0"/>
        </w:sectPr>
      </w:pPr>
    </w:p>
    <w:bookmarkStart w:id="171" w:name="page172"/>
    <w:bookmarkEnd w:id="171"/>
    <w:p>
      <w:pPr>
        <w:spacing w:after="0" w:line="80" w:lineRule="exact"/>
        <w:rPr>
          <w:sz w:val="20"/>
          <w:szCs w:val="20"/>
          <w:color w:val="auto"/>
        </w:rPr>
      </w:pPr>
    </w:p>
    <w:p>
      <w:pPr>
        <w:jc w:val="both"/>
        <w:ind w:right="260" w:firstLine="1277"/>
        <w:spacing w:after="0" w:line="304" w:lineRule="auto"/>
        <w:rPr>
          <w:sz w:val="20"/>
          <w:szCs w:val="20"/>
          <w:color w:val="auto"/>
        </w:rPr>
      </w:pPr>
      <w:r>
        <w:rPr>
          <w:rFonts w:ascii="Times New Roman" w:cs="Times New Roman" w:eastAsia="Times New Roman" w:hAnsi="Times New Roman"/>
          <w:sz w:val="21"/>
          <w:szCs w:val="21"/>
          <w:b w:val="1"/>
          <w:bCs w:val="1"/>
          <w:color w:val="auto"/>
        </w:rPr>
        <w:t xml:space="preserve">11.5 Counterparts. </w:t>
      </w:r>
      <w:r>
        <w:rPr>
          <w:rFonts w:ascii="Times New Roman" w:cs="Times New Roman" w:eastAsia="Times New Roman" w:hAnsi="Times New Roman"/>
          <w:sz w:val="21"/>
          <w:szCs w:val="21"/>
          <w:color w:val="auto"/>
        </w:rPr>
        <w:t>This Agreement may be executed in separate counterparts, any one of which need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 signatures of more than one party, but all of which taken together will constitute one and the same Agreement.</w:t>
      </w:r>
    </w:p>
    <w:p>
      <w:pPr>
        <w:spacing w:after="0" w:line="120" w:lineRule="exact"/>
        <w:rPr>
          <w:sz w:val="20"/>
          <w:szCs w:val="20"/>
          <w:color w:val="auto"/>
        </w:rPr>
      </w:pPr>
    </w:p>
    <w:p>
      <w:pPr>
        <w:jc w:val="both"/>
        <w:ind w:right="260" w:firstLine="1277"/>
        <w:spacing w:after="0" w:line="291" w:lineRule="auto"/>
        <w:rPr>
          <w:sz w:val="20"/>
          <w:szCs w:val="20"/>
          <w:color w:val="auto"/>
        </w:rPr>
      </w:pPr>
      <w:r>
        <w:rPr>
          <w:rFonts w:ascii="Times New Roman" w:cs="Times New Roman" w:eastAsia="Times New Roman" w:hAnsi="Times New Roman"/>
          <w:sz w:val="21"/>
          <w:szCs w:val="21"/>
          <w:b w:val="1"/>
          <w:bCs w:val="1"/>
          <w:color w:val="auto"/>
        </w:rPr>
        <w:t xml:space="preserve">11.6 Headings. </w:t>
      </w:r>
      <w:r>
        <w:rPr>
          <w:rFonts w:ascii="Times New Roman" w:cs="Times New Roman" w:eastAsia="Times New Roman" w:hAnsi="Times New Roman"/>
          <w:sz w:val="21"/>
          <w:szCs w:val="21"/>
          <w:color w:val="auto"/>
        </w:rPr>
        <w:t>The headings of the paragraphs hereof are inserted for convenience only and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to constitute a part hereof nor to affect the meaning thereof.</w:t>
      </w:r>
    </w:p>
    <w:p>
      <w:pPr>
        <w:spacing w:after="0" w:line="133" w:lineRule="exact"/>
        <w:rPr>
          <w:sz w:val="20"/>
          <w:szCs w:val="20"/>
          <w:color w:val="auto"/>
        </w:rPr>
      </w:pPr>
    </w:p>
    <w:p>
      <w:pPr>
        <w:jc w:val="both"/>
        <w:ind w:right="260" w:firstLine="1277"/>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11.7 Successors and Assigns. </w:t>
      </w:r>
      <w:r>
        <w:rPr>
          <w:rFonts w:ascii="Times New Roman" w:cs="Times New Roman" w:eastAsia="Times New Roman" w:hAnsi="Times New Roman"/>
          <w:sz w:val="21"/>
          <w:szCs w:val="21"/>
          <w:color w:val="auto"/>
        </w:rPr>
        <w:t>This Agreement shall be binding upon and inure to the benefit of and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55" w:lineRule="exact"/>
        <w:rPr>
          <w:sz w:val="20"/>
          <w:szCs w:val="20"/>
          <w:color w:val="auto"/>
        </w:rPr>
      </w:pPr>
    </w:p>
    <w:p>
      <w:pPr>
        <w:jc w:val="both"/>
        <w:ind w:right="260" w:firstLine="1277"/>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11.8 Tax Withholding and Indemnification. </w:t>
      </w:r>
      <w:r>
        <w:rPr>
          <w:rFonts w:ascii="Times New Roman" w:cs="Times New Roman" w:eastAsia="Times New Roman" w:hAnsi="Times New Roman"/>
          <w:sz w:val="21"/>
          <w:szCs w:val="21"/>
          <w:color w:val="auto"/>
        </w:rPr>
        <w:t>All payments and awards contemplated or made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35" w:lineRule="exact"/>
        <w:rPr>
          <w:sz w:val="20"/>
          <w:szCs w:val="20"/>
          <w:color w:val="auto"/>
        </w:rPr>
      </w:pPr>
    </w:p>
    <w:p>
      <w:pPr>
        <w:ind w:firstLine="1277"/>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11.9 Choice of Law. </w:t>
      </w:r>
      <w:r>
        <w:rPr>
          <w:rFonts w:ascii="Times New Roman" w:cs="Times New Roman" w:eastAsia="Times New Roman" w:hAnsi="Times New Roman"/>
          <w:sz w:val="21"/>
          <w:szCs w:val="21"/>
          <w:color w:val="auto"/>
        </w:rPr>
        <w:t>All questions concerning the construction, validity and interpretation of this Agreement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governed by the laws of the Commonwealth of Massachusetts.</w:t>
      </w:r>
    </w:p>
    <w:p>
      <w:pPr>
        <w:sectPr>
          <w:pgSz w:w="11900" w:h="16838" w:orient="portrait"/>
          <w:cols w:equalWidth="0" w:num="1">
            <w:col w:w="10980"/>
          </w:cols>
          <w:pgMar w:left="580" w:top="1440" w:right="339" w:bottom="1440" w:gutter="0" w:footer="0" w:header="0"/>
        </w:sectPr>
      </w:pPr>
    </w:p>
    <w:bookmarkStart w:id="172" w:name="page173"/>
    <w:bookmarkEnd w:id="172"/>
    <w:p>
      <w:pPr>
        <w:spacing w:after="0" w:line="2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Praxis Precision Medicines, Inc.</w:t>
      </w:r>
    </w:p>
    <w:p>
      <w:pPr>
        <w:spacing w:after="0" w:line="200" w:lineRule="exact"/>
        <w:rPr>
          <w:sz w:val="20"/>
          <w:szCs w:val="20"/>
          <w:color w:val="auto"/>
        </w:rPr>
      </w:pPr>
    </w:p>
    <w:p>
      <w:pPr>
        <w:spacing w:after="0" w:line="3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By: /s/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-8255</wp:posOffset>
            </wp:positionV>
            <wp:extent cx="10515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Name: Marcio Souza Title: CEO</w:t>
      </w:r>
    </w:p>
    <w:p>
      <w:pPr>
        <w:spacing w:after="0" w:line="2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November 15, 2021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3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/s/ Megan Sniecinski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-8255</wp:posOffset>
            </wp:positionV>
            <wp:extent cx="16751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Name: Megan Sniecinski</w:t>
      </w:r>
    </w:p>
    <w:p>
      <w:pPr>
        <w:spacing w:after="0" w:line="3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 xml:space="preserve">Date: </w:t>
      </w:r>
      <w:r>
        <w:rPr>
          <w:rFonts w:ascii="Times New Roman" w:cs="Times New Roman" w:eastAsia="Times New Roman" w:hAnsi="Times New Roman"/>
          <w:sz w:val="21"/>
          <w:szCs w:val="21"/>
          <w:color w:val="auto"/>
        </w:rPr>
        <w:t>November 15, 2021</w:t>
      </w:r>
    </w:p>
    <w:p>
      <w:pPr>
        <w:sectPr>
          <w:pgSz w:w="11900" w:h="16838" w:orient="portrait"/>
          <w:cols w:equalWidth="0" w:num="1">
            <w:col w:w="9939"/>
          </w:cols>
          <w:pgMar w:left="520" w:top="1440" w:right="1440"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2844800</wp:posOffset>
            </wp:positionH>
            <wp:positionV relativeFrom="page">
              <wp:posOffset>1077595</wp:posOffset>
            </wp:positionV>
            <wp:extent cx="1250950" cy="4984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1250950" cy="49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Praxis Precision Medicines, Inc. 99 High</w:t>
      </w:r>
    </w:p>
    <w:p>
      <w:pPr>
        <w:ind w:left="3200"/>
        <w:spacing w:after="0" w:line="230" w:lineRule="auto"/>
        <w:rPr>
          <w:sz w:val="20"/>
          <w:szCs w:val="20"/>
          <w:color w:val="auto"/>
        </w:rPr>
      </w:pPr>
      <w:r>
        <w:rPr>
          <w:rFonts w:ascii="Times New Roman" w:cs="Times New Roman" w:eastAsia="Times New Roman" w:hAnsi="Times New Roman"/>
          <w:sz w:val="18"/>
          <w:szCs w:val="18"/>
          <w:b w:val="1"/>
          <w:bCs w:val="1"/>
          <w:color w:val="auto"/>
        </w:rPr>
        <w:t>Street, 30</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 Boston, MA 02110</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0462C1"/>
        </w:rPr>
        <w:t>www.praxismedicines.com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11,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Megan Sniecinski [***]</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Employment Agreement Amendment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Megan:</w:t>
      </w:r>
    </w:p>
    <w:p>
      <w:pPr>
        <w:spacing w:after="0" w:line="289" w:lineRule="exact"/>
        <w:rPr>
          <w:sz w:val="20"/>
          <w:szCs w:val="20"/>
          <w:color w:val="auto"/>
        </w:rPr>
      </w:pPr>
    </w:p>
    <w:p>
      <w:pPr>
        <w:ind w:firstLine="638"/>
        <w:spacing w:after="0" w:line="288" w:lineRule="auto"/>
        <w:rPr>
          <w:sz w:val="20"/>
          <w:szCs w:val="20"/>
          <w:color w:val="auto"/>
        </w:rPr>
      </w:pPr>
      <w:r>
        <w:rPr>
          <w:rFonts w:ascii="Times New Roman" w:cs="Times New Roman" w:eastAsia="Times New Roman" w:hAnsi="Times New Roman"/>
          <w:sz w:val="20"/>
          <w:szCs w:val="20"/>
          <w:color w:val="auto"/>
        </w:rPr>
        <w:t>Reference is made to the employment agreement, executed by you November 15, 2021, between Praxis Precision Medicines,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you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right="220" w:firstLine="638"/>
        <w:spacing w:after="0" w:line="288" w:lineRule="auto"/>
        <w:rPr>
          <w:sz w:val="20"/>
          <w:szCs w:val="20"/>
          <w:color w:val="auto"/>
        </w:rPr>
      </w:pPr>
      <w:r>
        <w:rPr>
          <w:rFonts w:ascii="Times New Roman" w:cs="Times New Roman" w:eastAsia="Times New Roman" w:hAnsi="Times New Roman"/>
          <w:sz w:val="20"/>
          <w:szCs w:val="20"/>
          <w:color w:val="auto"/>
        </w:rPr>
        <w:t>By your signature to this letter, effective as of the date hereof, the Employment Agreement will be amended as follows:</w:t>
      </w:r>
    </w:p>
    <w:p>
      <w:pPr>
        <w:spacing w:after="0" w:line="180" w:lineRule="exact"/>
        <w:rPr>
          <w:sz w:val="20"/>
          <w:szCs w:val="20"/>
          <w:color w:val="auto"/>
        </w:rPr>
      </w:pPr>
    </w:p>
    <w:p>
      <w:pPr>
        <w:ind w:left="640" w:hanging="635"/>
        <w:spacing w:after="0"/>
        <w:tabs>
          <w:tab w:leader="none" w:pos="6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will be added as a new Section 5.2(ii)(c) of the Employment Agreement:</w:t>
      </w:r>
    </w:p>
    <w:p>
      <w:pPr>
        <w:spacing w:after="0" w:line="275" w:lineRule="exact"/>
        <w:rPr>
          <w:rFonts w:ascii="Times New Roman" w:cs="Times New Roman" w:eastAsia="Times New Roman" w:hAnsi="Times New Roman"/>
          <w:sz w:val="20"/>
          <w:szCs w:val="20"/>
          <w:color w:val="auto"/>
        </w:rPr>
      </w:pPr>
    </w:p>
    <w:p>
      <w:pPr>
        <w:jc w:val="both"/>
        <w:ind w:left="640" w:right="18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To the extent unpaid as of the date of Executive’s employment termination, the Company shall pay Executive an amount in cash equal to the Annual Bonus earned by Executive for the calendar year prior to the calendar year in which the date of Executive’s employment termination occurs, based on actual performance as determined in accordance with established policies for the determination of the Annual Bonus, which Annual Bonus, if any, shall be paid to Executive in the calendar year in which the date of Executive’s employment termination occurs when bonuses for such year are paid to actively employed senior executives of the Company.”</w:t>
      </w:r>
    </w:p>
    <w:p>
      <w:pPr>
        <w:spacing w:after="0" w:line="226" w:lineRule="exact"/>
        <w:rPr>
          <w:rFonts w:ascii="Times New Roman" w:cs="Times New Roman" w:eastAsia="Times New Roman" w:hAnsi="Times New Roman"/>
          <w:sz w:val="20"/>
          <w:szCs w:val="20"/>
          <w:color w:val="auto"/>
        </w:rPr>
      </w:pPr>
    </w:p>
    <w:p>
      <w:pPr>
        <w:ind w:left="640" w:hanging="635"/>
        <w:spacing w:after="0"/>
        <w:tabs>
          <w:tab w:leader="none" w:pos="6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will be added as a new Section 5.2(ii)(d) of the Employment Agreement:</w:t>
      </w:r>
    </w:p>
    <w:p>
      <w:pPr>
        <w:spacing w:after="0" w:line="275" w:lineRule="exact"/>
        <w:rPr>
          <w:rFonts w:ascii="Times New Roman" w:cs="Times New Roman" w:eastAsia="Times New Roman" w:hAnsi="Times New Roman"/>
          <w:sz w:val="20"/>
          <w:szCs w:val="20"/>
          <w:color w:val="auto"/>
        </w:rPr>
      </w:pPr>
    </w:p>
    <w:p>
      <w:pPr>
        <w:jc w:val="both"/>
        <w:ind w:left="640" w:right="180"/>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 The Company shall pay Executive an amount in cash equal to a pro-rata portion of the Annual Bonus for the calendar year in which the date of Executive’s employment termination occurs, determined by multiplying</w:t>
      </w:r>
    </w:p>
    <w:p>
      <w:pPr>
        <w:jc w:val="both"/>
        <w:ind w:left="640" w:right="180" w:firstLine="4"/>
        <w:spacing w:after="0" w:line="257" w:lineRule="auto"/>
        <w:tabs>
          <w:tab w:leader="none" w:pos="905"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Bonus amount based on actual performance for the year as determined in accordance with established policies for the determination of the Annual Bonus by (ii) a fraction, using the number of days of the calendar year elapsed prior to the date of Executive’s employment termination as the numerator and the number of days in such calendar year as the denominator, payable when bonuses for such year are paid to actively employed senior executives of the Company, but in no event later than March 15 of the year following the year in which such date of termination occurs.”</w:t>
      </w:r>
    </w:p>
    <w:p>
      <w:pPr>
        <w:spacing w:after="0" w:line="225" w:lineRule="exact"/>
        <w:rPr>
          <w:rFonts w:ascii="Times New Roman" w:cs="Times New Roman" w:eastAsia="Times New Roman" w:hAnsi="Times New Roman"/>
          <w:sz w:val="20"/>
          <w:szCs w:val="20"/>
          <w:color w:val="auto"/>
        </w:rPr>
      </w:pPr>
    </w:p>
    <w:p>
      <w:pPr>
        <w:ind w:left="320" w:hanging="315"/>
        <w:spacing w:after="0"/>
        <w:tabs>
          <w:tab w:leader="none" w:pos="3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5.3(i) of the Employment Agreement will be amended and restated in its entirety to read as follows:</w:t>
      </w:r>
    </w:p>
    <w:p>
      <w:pPr>
        <w:sectPr>
          <w:pgSz w:w="11900" w:h="16838" w:orient="portrait"/>
          <w:cols w:equalWidth="0" w:num="1">
            <w:col w:w="9500"/>
          </w:cols>
          <w:pgMar w:left="1280" w:top="1440" w:right="1119" w:bottom="1440" w:gutter="0" w:footer="0" w:header="0"/>
        </w:sectPr>
      </w:pPr>
    </w:p>
    <w:bookmarkStart w:id="174" w:name="page175"/>
    <w:bookmarkEnd w:id="174"/>
    <w:p>
      <w:pPr>
        <w:spacing w:after="0" w:line="235" w:lineRule="exact"/>
        <w:rPr>
          <w:sz w:val="20"/>
          <w:szCs w:val="20"/>
          <w:color w:val="auto"/>
        </w:rPr>
      </w:pPr>
    </w:p>
    <w:p>
      <w:pPr>
        <w:jc w:val="both"/>
        <w:ind w:left="635"/>
        <w:spacing w:after="0" w:line="257" w:lineRule="auto"/>
        <w:rPr>
          <w:sz w:val="20"/>
          <w:szCs w:val="20"/>
          <w:color w:val="auto"/>
        </w:rPr>
      </w:pPr>
      <w:r>
        <w:rPr>
          <w:rFonts w:ascii="Times New Roman" w:cs="Times New Roman" w:eastAsia="Times New Roman" w:hAnsi="Times New Roman"/>
          <w:sz w:val="20"/>
          <w:szCs w:val="20"/>
          <w:color w:val="auto"/>
        </w:rPr>
        <w:t>“(i) The provisions of this Section 5.3 shall apply in lieu of, and expressly supersede, the provisions of Section 5.2 regarding severance pay and benefits upon a termination of employment by the Company without Cause or by Executive for Good Reason if such termination of employment occurs within three (3) months prior to or on or within eighteen (18) months after the occurrence of the first event constituting a Change of Control (such period, the “</w:t>
      </w:r>
      <w:r>
        <w:rPr>
          <w:rFonts w:ascii="Times New Roman" w:cs="Times New Roman" w:eastAsia="Times New Roman" w:hAnsi="Times New Roman"/>
          <w:sz w:val="20"/>
          <w:szCs w:val="20"/>
          <w:b w:val="1"/>
          <w:bCs w:val="1"/>
          <w:color w:val="auto"/>
        </w:rPr>
        <w:t>Change of Control Period</w:t>
      </w:r>
      <w:r>
        <w:rPr>
          <w:rFonts w:ascii="Times New Roman" w:cs="Times New Roman" w:eastAsia="Times New Roman" w:hAnsi="Times New Roman"/>
          <w:sz w:val="20"/>
          <w:szCs w:val="20"/>
          <w:color w:val="auto"/>
        </w:rPr>
        <w:t>”). These provisions shall terminate and be of no further force or effect after the Change of Control Period.”</w:t>
      </w:r>
    </w:p>
    <w:p>
      <w:pPr>
        <w:spacing w:after="0" w:line="226" w:lineRule="exact"/>
        <w:rPr>
          <w:sz w:val="20"/>
          <w:szCs w:val="20"/>
          <w:color w:val="auto"/>
        </w:rPr>
      </w:pPr>
    </w:p>
    <w:p>
      <w:pPr>
        <w:ind w:left="-5" w:right="340" w:firstLine="5"/>
        <w:spacing w:after="0" w:line="261" w:lineRule="auto"/>
        <w:tabs>
          <w:tab w:leader="none" w:pos="31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5.3(ii)(a) and (b) of the Employment Agreement will be amended and restated in their entirety to read as follows:</w:t>
      </w:r>
    </w:p>
    <w:p>
      <w:pPr>
        <w:spacing w:after="0" w:line="245" w:lineRule="exact"/>
        <w:rPr>
          <w:sz w:val="20"/>
          <w:szCs w:val="20"/>
          <w:color w:val="auto"/>
        </w:rPr>
      </w:pPr>
    </w:p>
    <w:p>
      <w:pPr>
        <w:jc w:val="both"/>
        <w:ind w:left="635"/>
        <w:spacing w:after="0" w:line="262" w:lineRule="auto"/>
        <w:rPr>
          <w:sz w:val="20"/>
          <w:szCs w:val="20"/>
          <w:color w:val="auto"/>
        </w:rPr>
      </w:pPr>
      <w:r>
        <w:rPr>
          <w:rFonts w:ascii="Times New Roman" w:cs="Times New Roman" w:eastAsia="Times New Roman" w:hAnsi="Times New Roman"/>
          <w:sz w:val="20"/>
          <w:szCs w:val="20"/>
          <w:color w:val="auto"/>
        </w:rPr>
        <w:t>“(ii) In the event that Executive’s employment with the Company is terminated by the Company without Cause or by Executive for Good Reason, in either case during the Change of Control Period, then, provided Executive remains in compliance with the terms of this Agreement, the Company shall provide Executive with the following severance benefits:</w:t>
      </w:r>
    </w:p>
    <w:p>
      <w:pPr>
        <w:spacing w:after="0" w:line="207" w:lineRule="exact"/>
        <w:rPr>
          <w:sz w:val="20"/>
          <w:szCs w:val="20"/>
          <w:color w:val="auto"/>
        </w:rPr>
      </w:pPr>
    </w:p>
    <w:p>
      <w:pPr>
        <w:jc w:val="both"/>
        <w:ind w:left="635" w:firstLine="1282"/>
        <w:spacing w:after="0" w:line="274" w:lineRule="auto"/>
        <w:tabs>
          <w:tab w:leader="none" w:pos="2223"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Executive, as severance, a lump sum in cash in an amount equal to (A) one (1) times the sum of (x) Executive’s then current Base Salary (or Executive’s Base Salary in effect immediately prior to the Change of Control, if higher) plus (y) Executive’s target Annual Bonus for the then-current year (or Executive’s target Annual Bonus in effect immediately prior to the Change of Control, if higher); plus (B) a pro-rata portion of Executive’s target Annual Bonus for the calendar year in which the date of Executive’s employment termination occurs, determined by multiplying (1) such target Annual Bonus by</w:t>
      </w:r>
    </w:p>
    <w:p>
      <w:pPr>
        <w:spacing w:after="0" w:line="1" w:lineRule="exact"/>
        <w:rPr>
          <w:rFonts w:ascii="Times New Roman" w:cs="Times New Roman" w:eastAsia="Times New Roman" w:hAnsi="Times New Roman"/>
          <w:sz w:val="18"/>
          <w:szCs w:val="18"/>
          <w:color w:val="auto"/>
        </w:rPr>
      </w:pPr>
    </w:p>
    <w:p>
      <w:pPr>
        <w:ind w:left="975" w:hanging="336"/>
        <w:spacing w:after="0"/>
        <w:tabs>
          <w:tab w:leader="none" w:pos="97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fraction, using the number of days of the calendar year elapsed prior to the date of Executive’s</w:t>
      </w:r>
    </w:p>
    <w:p>
      <w:pPr>
        <w:spacing w:after="0" w:line="2" w:lineRule="exact"/>
        <w:rPr>
          <w:sz w:val="20"/>
          <w:szCs w:val="20"/>
          <w:color w:val="auto"/>
        </w:rPr>
      </w:pPr>
    </w:p>
    <w:p>
      <w:pPr>
        <w:ind w:left="635"/>
        <w:spacing w:after="0"/>
        <w:rPr>
          <w:sz w:val="20"/>
          <w:szCs w:val="20"/>
          <w:color w:val="auto"/>
        </w:rPr>
      </w:pPr>
      <w:r>
        <w:rPr>
          <w:rFonts w:ascii="Times New Roman" w:cs="Times New Roman" w:eastAsia="Times New Roman" w:hAnsi="Times New Roman"/>
          <w:sz w:val="20"/>
          <w:szCs w:val="20"/>
          <w:color w:val="auto"/>
        </w:rPr>
        <w:t>employment termination as the numerator and the number of days in such calendar year as the denominator.</w:t>
      </w:r>
    </w:p>
    <w:p>
      <w:pPr>
        <w:spacing w:after="0" w:line="10" w:lineRule="exact"/>
        <w:rPr>
          <w:sz w:val="20"/>
          <w:szCs w:val="20"/>
          <w:color w:val="auto"/>
        </w:rPr>
      </w:pPr>
    </w:p>
    <w:p>
      <w:pPr>
        <w:ind w:left="635"/>
        <w:spacing w:after="0"/>
        <w:rPr>
          <w:sz w:val="20"/>
          <w:szCs w:val="20"/>
          <w:color w:val="auto"/>
        </w:rPr>
      </w:pPr>
      <w:r>
        <w:rPr>
          <w:rFonts w:ascii="Times New Roman" w:cs="Times New Roman" w:eastAsia="Times New Roman" w:hAnsi="Times New Roman"/>
          <w:sz w:val="20"/>
          <w:szCs w:val="20"/>
          <w:color w:val="auto"/>
        </w:rPr>
        <w:t>The payments described in this Section 5.3(ii)(a), the “</w:t>
      </w:r>
      <w:r>
        <w:rPr>
          <w:rFonts w:ascii="Times New Roman" w:cs="Times New Roman" w:eastAsia="Times New Roman" w:hAnsi="Times New Roman"/>
          <w:sz w:val="20"/>
          <w:szCs w:val="20"/>
          <w:b w:val="1"/>
          <w:bCs w:val="1"/>
          <w:color w:val="auto"/>
        </w:rPr>
        <w:t>Change of Control Severance</w:t>
      </w:r>
      <w:r>
        <w:rPr>
          <w:rFonts w:ascii="Times New Roman" w:cs="Times New Roman" w:eastAsia="Times New Roman" w:hAnsi="Times New Roman"/>
          <w:sz w:val="20"/>
          <w:szCs w:val="20"/>
          <w:color w:val="auto"/>
        </w:rPr>
        <w:t>”.</w:t>
      </w:r>
    </w:p>
    <w:p>
      <w:pPr>
        <w:spacing w:after="0" w:line="248" w:lineRule="exact"/>
        <w:rPr>
          <w:sz w:val="20"/>
          <w:szCs w:val="20"/>
          <w:color w:val="auto"/>
        </w:rPr>
      </w:pPr>
    </w:p>
    <w:p>
      <w:pPr>
        <w:jc w:val="both"/>
        <w:ind w:left="635" w:firstLine="1282"/>
        <w:spacing w:after="0" w:line="276" w:lineRule="auto"/>
        <w:tabs>
          <w:tab w:leader="none" w:pos="22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Equity Documents, all time-based stock options and other stock-based awards subject to time-based vesting held by Executive (the “</w:t>
      </w:r>
      <w:r>
        <w:rPr>
          <w:rFonts w:ascii="Times New Roman" w:cs="Times New Roman" w:eastAsia="Times New Roman" w:hAnsi="Times New Roman"/>
          <w:sz w:val="18"/>
          <w:szCs w:val="18"/>
          <w:b w:val="1"/>
          <w:bCs w:val="1"/>
          <w:color w:val="auto"/>
        </w:rPr>
        <w:t>Time-Based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shall immediately accelerate and become fully exercisable or nonforfeitable as of the last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 of (i) the date of termination; (ii) the effective date of the Separation Agreement (as defined below) or</w:t>
      </w:r>
    </w:p>
    <w:p>
      <w:pPr>
        <w:spacing w:after="0" w:line="1" w:lineRule="exact"/>
        <w:rPr>
          <w:rFonts w:ascii="Times New Roman" w:cs="Times New Roman" w:eastAsia="Times New Roman" w:hAnsi="Times New Roman"/>
          <w:sz w:val="18"/>
          <w:szCs w:val="18"/>
          <w:color w:val="auto"/>
        </w:rPr>
      </w:pPr>
    </w:p>
    <w:p>
      <w:pPr>
        <w:ind w:left="975" w:hanging="336"/>
        <w:spacing w:after="0"/>
        <w:tabs>
          <w:tab w:leader="none" w:pos="9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precedes a Change of Control, the date of a Change of Control that occurs within three</w:t>
      </w:r>
    </w:p>
    <w:p>
      <w:pPr>
        <w:spacing w:after="0" w:line="25" w:lineRule="exact"/>
        <w:rPr>
          <w:sz w:val="20"/>
          <w:szCs w:val="20"/>
          <w:color w:val="auto"/>
        </w:rPr>
      </w:pPr>
    </w:p>
    <w:p>
      <w:pPr>
        <w:jc w:val="both"/>
        <w:ind w:left="635"/>
        <w:spacing w:after="0" w:line="244" w:lineRule="auto"/>
        <w:rPr>
          <w:sz w:val="20"/>
          <w:szCs w:val="20"/>
          <w:color w:val="auto"/>
        </w:rPr>
      </w:pPr>
      <w:r>
        <w:rPr>
          <w:rFonts w:ascii="Times New Roman" w:cs="Times New Roman" w:eastAsia="Times New Roman" w:hAnsi="Times New Roman"/>
          <w:sz w:val="20"/>
          <w:szCs w:val="20"/>
          <w:color w:val="auto"/>
        </w:rPr>
        <w:t>(3) months after the date of such termination (“</w:t>
      </w:r>
      <w:r>
        <w:rPr>
          <w:rFonts w:ascii="Times New Roman" w:cs="Times New Roman" w:eastAsia="Times New Roman" w:hAnsi="Times New Roman"/>
          <w:sz w:val="20"/>
          <w:szCs w:val="20"/>
          <w:b w:val="1"/>
          <w:bCs w:val="1"/>
          <w:color w:val="auto"/>
        </w:rPr>
        <w:t>Accelerated Vesting Date</w:t>
      </w:r>
      <w:r>
        <w:rPr>
          <w:rFonts w:ascii="Times New Roman" w:cs="Times New Roman" w:eastAsia="Times New Roman" w:hAnsi="Times New Roman"/>
          <w:sz w:val="20"/>
          <w:szCs w:val="20"/>
          <w:color w:val="auto"/>
        </w:rPr>
        <w:t>”); provided that, any termination or forfeiture of the unvested portion of such Time-Based Equity Awards that would otherwise occur on the date of termination in the absence of this Agreement will be delayed until the applicable Accelerated Vesting Date and will only occur if the vesting pursuant to this subsection does not occur due to the absence of the Separation Agreement becoming fully effective within the time period set forth therein or, if applicable, the Change of Control not occurring within three (3) months following the termination date; provided further that in no event will any such award remain outstanding beyond the final expiration date of the award as set forth in the applicable Equity Documents. Notwithstanding the foregoing, no additional vesting of the Time-Based Equity Awards shall occur during the period between Executive’s date of termination and the Accelerated Vesting Date. All stock options and other stock-based awards that vest in whole or in part based on the attainment of performance-vesting conditions will be governed by the terms of the applicable award agreement.”</w:t>
      </w:r>
    </w:p>
    <w:p>
      <w:pPr>
        <w:spacing w:after="0" w:line="241" w:lineRule="exact"/>
        <w:rPr>
          <w:sz w:val="20"/>
          <w:szCs w:val="20"/>
          <w:color w:val="auto"/>
        </w:rPr>
      </w:pPr>
    </w:p>
    <w:p>
      <w:pPr>
        <w:ind w:left="635" w:hanging="635"/>
        <w:spacing w:after="0"/>
        <w:tabs>
          <w:tab w:leader="none" w:pos="63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will be added as a new Section 5.3(ii)(d) of the Employment Agreement:</w:t>
      </w:r>
    </w:p>
    <w:p>
      <w:pPr>
        <w:sectPr>
          <w:pgSz w:w="11900" w:h="16838" w:orient="portrait"/>
          <w:cols w:equalWidth="0" w:num="1">
            <w:col w:w="9315"/>
          </w:cols>
          <w:pgMar w:left="1285" w:top="1440" w:right="1299" w:bottom="1440" w:gutter="0" w:footer="0" w:header="0"/>
        </w:sectPr>
      </w:pPr>
    </w:p>
    <w:bookmarkStart w:id="175" w:name="page176"/>
    <w:bookmarkEnd w:id="175"/>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“(d) To the extent unpaid as of the date of Executive’s employment termination, the Company shall pay Executive an amount in cash equal to the Annual Bonus earned by Executive for the calendar year prior to the calendar year in which the date of Executive’s employment termination occurs, based on actual performance as determined in accordance with established policies for the determination of the Annual Bonus, which Annual Bonus, if any, shall be paid to Executive in the calendar year in which the date of Executive’s employment termination occurs when bonuses for such year are paid to actively employed senior executives of the Company.”</w:t>
      </w: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8"/>
          <w:szCs w:val="18"/>
          <w:color w:val="auto"/>
        </w:rPr>
        <w:t>Section 5.3(iii) of the Employment Agreement will be amended and restated in its entirety to read as follows:</w:t>
      </w:r>
    </w:p>
    <w:p>
      <w:pPr>
        <w:spacing w:after="0" w:line="276" w:lineRule="exact"/>
        <w:rPr>
          <w:sz w:val="20"/>
          <w:szCs w:val="20"/>
          <w:color w:val="auto"/>
        </w:rPr>
      </w:pPr>
    </w:p>
    <w:p>
      <w:pPr>
        <w:jc w:val="both"/>
        <w:ind w:left="640"/>
        <w:spacing w:after="0" w:line="289" w:lineRule="auto"/>
        <w:rPr>
          <w:sz w:val="20"/>
          <w:szCs w:val="20"/>
          <w:color w:val="auto"/>
        </w:rPr>
      </w:pPr>
      <w:r>
        <w:rPr>
          <w:rFonts w:ascii="Times New Roman" w:cs="Times New Roman" w:eastAsia="Times New Roman" w:hAnsi="Times New Roman"/>
          <w:sz w:val="18"/>
          <w:szCs w:val="18"/>
          <w:color w:val="auto"/>
        </w:rPr>
        <w:t xml:space="preserve">“(iii) The amounts payable under this Section 5.3, to the extent taxable, shall be paid or commence to be paid within 60 days after the later of the date of Executive’s termination and the date of the Change of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if the 60-day period begins in one calendar year and ends in a second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such payments to the extent they qualify as “non-qualified deferred compensation” within the meaning of Section 409A of the Code, shall be paid or commence to be paid in the second calendar year by the last day of such 60-day period or (B) if Executive’s termination occurs during the three (3) month period prior to the date of the Change of Control, during the period commencing on Executive’s termination date and ending on the date of the Change of Control, Executive shall be paid the Change of Control Severance in accordance with Sections 5.2(ii)(a) and 5.2(iii) as if it were Severance and any Change of Control Severance amounts that remain unpaid as of the date of the Change of Control will be paid in a lump sum by the later of 60 days after the date of Executive’s termination and 15 days after the date of the Change of Control.”</w:t>
      </w:r>
    </w:p>
    <w:p>
      <w:pPr>
        <w:spacing w:after="0" w:line="200" w:lineRule="exact"/>
        <w:rPr>
          <w:sz w:val="20"/>
          <w:szCs w:val="20"/>
          <w:color w:val="auto"/>
        </w:rPr>
      </w:pPr>
    </w:p>
    <w:p>
      <w:pPr>
        <w:spacing w:after="0" w:line="249" w:lineRule="exact"/>
        <w:rPr>
          <w:sz w:val="20"/>
          <w:szCs w:val="20"/>
          <w:color w:val="auto"/>
        </w:rPr>
      </w:pPr>
    </w:p>
    <w:p>
      <w:pPr>
        <w:jc w:val="both"/>
        <w:ind w:firstLine="638"/>
        <w:spacing w:after="0" w:line="269" w:lineRule="auto"/>
        <w:rPr>
          <w:sz w:val="20"/>
          <w:szCs w:val="20"/>
          <w:color w:val="auto"/>
        </w:rPr>
      </w:pPr>
      <w:r>
        <w:rPr>
          <w:rFonts w:ascii="Times New Roman" w:cs="Times New Roman" w:eastAsia="Times New Roman" w:hAnsi="Times New Roman"/>
          <w:sz w:val="20"/>
          <w:szCs w:val="20"/>
          <w:color w:val="auto"/>
        </w:rPr>
        <w:t>Except as stated in this letter, all terms and provisions of the Employment Agreement will remain in full force and effect. This letter represents the entire understanding of the parties with respect to the subject matter hereof and supersedes all prior arrangements and understandings regarding the same.</w:t>
      </w:r>
    </w:p>
    <w:p>
      <w:pPr>
        <w:spacing w:after="0" w:line="212" w:lineRule="exact"/>
        <w:rPr>
          <w:sz w:val="20"/>
          <w:szCs w:val="20"/>
          <w:color w:val="auto"/>
        </w:rPr>
      </w:pPr>
    </w:p>
    <w:p>
      <w:pPr>
        <w:jc w:val="both"/>
        <w:ind w:firstLine="638"/>
        <w:spacing w:after="0" w:line="288" w:lineRule="auto"/>
        <w:rPr>
          <w:sz w:val="20"/>
          <w:szCs w:val="20"/>
          <w:color w:val="auto"/>
        </w:rPr>
      </w:pPr>
      <w:r>
        <w:rPr>
          <w:rFonts w:ascii="Times New Roman" w:cs="Times New Roman" w:eastAsia="Times New Roman" w:hAnsi="Times New Roman"/>
          <w:sz w:val="20"/>
          <w:szCs w:val="20"/>
          <w:color w:val="auto"/>
        </w:rPr>
        <w:t>Please sign this letter in the space provided below and return it to me to indicate your acceptance and agreement with the terms contained in this letter.</w:t>
      </w:r>
    </w:p>
    <w:p>
      <w:pPr>
        <w:spacing w:after="0" w:line="200" w:lineRule="exact"/>
        <w:rPr>
          <w:sz w:val="20"/>
          <w:szCs w:val="20"/>
          <w:color w:val="auto"/>
        </w:rPr>
      </w:pPr>
    </w:p>
    <w:p>
      <w:pPr>
        <w:spacing w:after="0" w:line="2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Sincerely,</w:t>
      </w:r>
    </w:p>
    <w:p>
      <w:pPr>
        <w:spacing w:after="0" w:line="2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PRAXIS PRECISION MEDICINES, INC.</w:t>
      </w:r>
    </w:p>
    <w:p>
      <w:pPr>
        <w:spacing w:after="0" w:line="200" w:lineRule="exact"/>
        <w:rPr>
          <w:sz w:val="20"/>
          <w:szCs w:val="20"/>
          <w:color w:val="auto"/>
        </w:rPr>
      </w:pPr>
    </w:p>
    <w:p>
      <w:pPr>
        <w:spacing w:after="0" w:line="289"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8"/>
          <w:szCs w:val="18"/>
          <w:color w:val="auto"/>
        </w:rPr>
        <w:t>/s/ Alex Nemiroff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-12700</wp:posOffset>
            </wp:positionV>
            <wp:extent cx="12503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Name: Alex Nemiroff</w:t>
      </w:r>
    </w:p>
    <w:p>
      <w:pPr>
        <w:spacing w:after="0" w:line="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Accepted and Agreed by:</w:t>
      </w: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 Megan Sniecinski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-12700</wp:posOffset>
            </wp:positionV>
            <wp:extent cx="14109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Megan Sniecinski</w:t>
      </w:r>
    </w:p>
    <w:p>
      <w:pPr>
        <w:sectPr>
          <w:pgSz w:w="11900" w:h="16838" w:orient="portrait"/>
          <w:cols w:equalWidth="0" w:num="1">
            <w:col w:w="9320"/>
          </w:cols>
          <w:pgMar w:left="1280" w:top="1435" w:right="1299" w:bottom="1440" w:gutter="0" w:footer="0" w:header="0"/>
        </w:sectPr>
      </w:pPr>
    </w:p>
    <w:bookmarkStart w:id="176" w:name="page177"/>
    <w:bookmarkEnd w:id="176"/>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SUBLEASE</w:t>
      </w:r>
    </w:p>
    <w:p>
      <w:pPr>
        <w:spacing w:after="0" w:line="219" w:lineRule="exact"/>
        <w:rPr>
          <w:sz w:val="20"/>
          <w:szCs w:val="20"/>
          <w:color w:val="auto"/>
        </w:rPr>
      </w:pPr>
    </w:p>
    <w:p>
      <w:pPr>
        <w:ind w:firstLine="639"/>
        <w:spacing w:after="0" w:line="278" w:lineRule="auto"/>
        <w:rPr>
          <w:sz w:val="20"/>
          <w:szCs w:val="20"/>
          <w:color w:val="auto"/>
        </w:rPr>
      </w:pPr>
      <w:r>
        <w:rPr>
          <w:rFonts w:ascii="Times New Roman" w:cs="Times New Roman" w:eastAsia="Times New Roman" w:hAnsi="Times New Roman"/>
          <w:sz w:val="18"/>
          <w:szCs w:val="18"/>
          <w:color w:val="auto"/>
        </w:rPr>
        <w:t>THIS SUBLEASE (this “</w:t>
      </w:r>
      <w:r>
        <w:rPr>
          <w:rFonts w:ascii="Times New Roman" w:cs="Times New Roman" w:eastAsia="Times New Roman" w:hAnsi="Times New Roman"/>
          <w:sz w:val="18"/>
          <w:szCs w:val="18"/>
          <w:b w:val="1"/>
          <w:bCs w:val="1"/>
          <w:color w:val="auto"/>
        </w:rPr>
        <w:t>Sublease</w:t>
      </w:r>
      <w:r>
        <w:rPr>
          <w:rFonts w:ascii="Times New Roman" w:cs="Times New Roman" w:eastAsia="Times New Roman" w:hAnsi="Times New Roman"/>
          <w:sz w:val="18"/>
          <w:szCs w:val="18"/>
          <w:color w:val="auto"/>
        </w:rPr>
        <w:t xml:space="preserve">”) is made and entered into this 27th day of May, 2021, by and between </w:t>
      </w:r>
      <w:r>
        <w:rPr>
          <w:rFonts w:ascii="Times New Roman" w:cs="Times New Roman" w:eastAsia="Times New Roman" w:hAnsi="Times New Roman"/>
          <w:sz w:val="18"/>
          <w:szCs w:val="18"/>
          <w:b w:val="1"/>
          <w:bCs w:val="1"/>
          <w:color w:val="auto"/>
        </w:rPr>
        <w:t>CBRE,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Sublandlord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Praxis Precision Medicines,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Subtenant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19" w:lineRule="exact"/>
        <w:rPr>
          <w:sz w:val="20"/>
          <w:szCs w:val="20"/>
          <w:color w:val="auto"/>
        </w:rPr>
      </w:pPr>
    </w:p>
    <w:p>
      <w:pPr>
        <w:jc w:val="both"/>
        <w:ind w:firstLine="645"/>
        <w:spacing w:after="0" w:line="250" w:lineRule="auto"/>
        <w:tabs>
          <w:tab w:leader="none" w:pos="117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predecessor-in-interest to TREA 99 HIGH STREET LLC, a Delaware limited liability company (“</w:t>
      </w:r>
      <w:r>
        <w:rPr>
          <w:rFonts w:ascii="Times New Roman" w:cs="Times New Roman" w:eastAsia="Times New Roman" w:hAnsi="Times New Roman"/>
          <w:sz w:val="18"/>
          <w:szCs w:val="18"/>
          <w:b w:val="1"/>
          <w:bCs w:val="1"/>
          <w:color w:val="auto"/>
        </w:rPr>
        <w:t>Master Landlord</w:t>
      </w:r>
      <w:r>
        <w:rPr>
          <w:rFonts w:ascii="Times New Roman" w:cs="Times New Roman" w:eastAsia="Times New Roman" w:hAnsi="Times New Roman"/>
          <w:sz w:val="18"/>
          <w:szCs w:val="18"/>
          <w:color w:val="auto"/>
        </w:rPr>
        <w:t>”) and the predecessor-in-interest to Sublandlord entered into that certain Lease originally dated as of October 8, 2015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as amended by that certain Assignment and Assumption of Lease and Landlord's Consent and Amendment of Lease, dated as of March 23, 2018, that certain Second Amendment to Lease dated as of March 7, 2019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that certain Third Amendment to Lease dated as of September 11, 2019 (the “</w:t>
      </w: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that certain Fourth Amendment to Lease dated May 15, 2020 (the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and that certain letter dated July 27, 2020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collectively, the “</w:t>
      </w:r>
      <w:r>
        <w:rPr>
          <w:rFonts w:ascii="Times New Roman" w:cs="Times New Roman" w:eastAsia="Times New Roman" w:hAnsi="Times New Roman"/>
          <w:sz w:val="18"/>
          <w:szCs w:val="18"/>
          <w:b w:val="1"/>
          <w:bCs w:val="1"/>
          <w:color w:val="auto"/>
        </w:rPr>
        <w:t>Master Lease</w:t>
      </w:r>
      <w:r>
        <w:rPr>
          <w:rFonts w:ascii="Times New Roman" w:cs="Times New Roman" w:eastAsia="Times New Roman" w:hAnsi="Times New Roman"/>
          <w:sz w:val="18"/>
          <w:szCs w:val="18"/>
          <w:color w:val="auto"/>
        </w:rPr>
        <w:t>”), for the lease of approximately 25,445 rentable square feet of office space constituting the entire 30th floor (the “</w:t>
      </w:r>
      <w:r>
        <w:rPr>
          <w:rFonts w:ascii="Times New Roman" w:cs="Times New Roman" w:eastAsia="Times New Roman" w:hAnsi="Times New Roman"/>
          <w:sz w:val="18"/>
          <w:szCs w:val="18"/>
          <w:b w:val="1"/>
          <w:bCs w:val="1"/>
          <w:color w:val="auto"/>
        </w:rPr>
        <w:t>Master Premises</w:t>
      </w:r>
      <w:r>
        <w:rPr>
          <w:rFonts w:ascii="Times New Roman" w:cs="Times New Roman" w:eastAsia="Times New Roman" w:hAnsi="Times New Roman"/>
          <w:sz w:val="18"/>
          <w:szCs w:val="18"/>
          <w:color w:val="auto"/>
        </w:rPr>
        <w:t>”) located in the building (as more particularly described in the Lease,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xml:space="preserve">") commonly known as 99 High Street in Boston, Massachusetts. All capitalized words and phrases used in this Amendment and not otherwise defined herein shall have the meanings ascribed to them in the Lease. A true and correct copy of the Master Lease is attached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w:t>
      </w:r>
    </w:p>
    <w:p>
      <w:pPr>
        <w:spacing w:after="0" w:line="189" w:lineRule="exact"/>
        <w:rPr>
          <w:rFonts w:ascii="Times New Roman" w:cs="Times New Roman" w:eastAsia="Times New Roman" w:hAnsi="Times New Roman"/>
          <w:sz w:val="18"/>
          <w:szCs w:val="18"/>
          <w:b w:val="1"/>
          <w:bCs w:val="1"/>
          <w:color w:val="auto"/>
        </w:rPr>
      </w:pPr>
    </w:p>
    <w:p>
      <w:pPr>
        <w:ind w:firstLine="645"/>
        <w:spacing w:after="0" w:line="278" w:lineRule="auto"/>
        <w:tabs>
          <w:tab w:leader="none" w:pos="98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Sublandlord and Subtenant desire to provide for a sublease of the Master Premises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xml:space="preserve">”) as depicted on </w:t>
      </w: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attached hereto pursuant to the provisions containing approximately 25,445 rentable square feet of office space on the entire 30ths floor located in the Building.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1" w:lineRule="exact"/>
        <w:rPr>
          <w:sz w:val="20"/>
          <w:szCs w:val="20"/>
          <w:color w:val="auto"/>
        </w:rPr>
      </w:pPr>
    </w:p>
    <w:p>
      <w:pPr>
        <w:ind w:firstLine="639"/>
        <w:spacing w:after="0" w:line="276" w:lineRule="auto"/>
        <w:rPr>
          <w:sz w:val="20"/>
          <w:szCs w:val="20"/>
          <w:color w:val="auto"/>
        </w:rPr>
      </w:pPr>
      <w:r>
        <w:rPr>
          <w:rFonts w:ascii="Times New Roman" w:cs="Times New Roman" w:eastAsia="Times New Roman" w:hAnsi="Times New Roman"/>
          <w:sz w:val="18"/>
          <w:szCs w:val="18"/>
          <w:color w:val="auto"/>
        </w:rPr>
        <w:t>NOW, THEREFORE, in consideration of the recitals set forth above, the agreements set forth below and other good and valuable consideration, the receipt and sufficiency of which are hereby acknowledged, Landlord and Tenant hereby agree as follows:</w:t>
      </w:r>
    </w:p>
    <w:p>
      <w:pPr>
        <w:spacing w:after="0" w:line="148" w:lineRule="exact"/>
        <w:rPr>
          <w:sz w:val="20"/>
          <w:szCs w:val="20"/>
          <w:color w:val="auto"/>
        </w:rPr>
      </w:pPr>
    </w:p>
    <w:p>
      <w:pPr>
        <w:jc w:val="both"/>
        <w:ind w:firstLine="645"/>
        <w:spacing w:after="0" w:line="217" w:lineRule="auto"/>
        <w:tabs>
          <w:tab w:leader="none" w:pos="1278"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Sublease; FF&amp;E</w:t>
      </w:r>
      <w:r>
        <w:rPr>
          <w:rFonts w:ascii="Times New Roman" w:cs="Times New Roman" w:eastAsia="Times New Roman" w:hAnsi="Times New Roman"/>
          <w:sz w:val="18"/>
          <w:szCs w:val="18"/>
          <w:color w:val="auto"/>
        </w:rPr>
        <w:t>. Subject and pursuant to the provisions hereof, Sublandlord subleases to Subtenant, and Subtenant subleases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Sublandlord, the Premises. Sublandlord agrees to leave in the Premises for Subtenant’s use during the Term the personal property, furniture, fixtures and equipment identified on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FF&amp;E</w:t>
      </w:r>
      <w:r>
        <w:rPr>
          <w:rFonts w:ascii="Times New Roman" w:cs="Times New Roman" w:eastAsia="Times New Roman" w:hAnsi="Times New Roman"/>
          <w:sz w:val="18"/>
          <w:szCs w:val="18"/>
          <w:color w:val="auto"/>
        </w:rPr>
        <w:t>”). Subtenant accepts such FF&amp;E in its “as-is”, “where is” condition, “with all faults” and Sublandlord makes no representation or warranty about the fitness of such FF&amp;E, whether express or implied, of any kind or nature. Subtenant agrees to maintain the FF&amp;E in good condition and repair.</w:t>
      </w:r>
    </w:p>
    <w:p>
      <w:pPr>
        <w:spacing w:after="0" w:line="169" w:lineRule="exact"/>
        <w:rPr>
          <w:rFonts w:ascii="Times New Roman" w:cs="Times New Roman" w:eastAsia="Times New Roman" w:hAnsi="Times New Roman"/>
          <w:sz w:val="16"/>
          <w:szCs w:val="16"/>
          <w:b w:val="1"/>
          <w:bCs w:val="1"/>
          <w:color w:val="auto"/>
        </w:rPr>
      </w:pPr>
    </w:p>
    <w:p>
      <w:pPr>
        <w:jc w:val="both"/>
        <w:ind w:firstLine="645"/>
        <w:spacing w:after="0" w:line="222" w:lineRule="auto"/>
        <w:tabs>
          <w:tab w:leader="none" w:pos="1278"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Sublease shall be for approximately fifty-eight (58) months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commencing on the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which is the later of (a) the date Sublease documents are executed and all necessary consents to this Sublease are obtained, including, without limitation any consents required pursuant to the Master Lease and (b) May 1, 2021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and shall continue until January 31, 2026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unless sooner terminated pursuant to the provisions hereof.</w:t>
      </w:r>
    </w:p>
    <w:p>
      <w:pPr>
        <w:spacing w:after="0" w:line="168" w:lineRule="exact"/>
        <w:rPr>
          <w:sz w:val="20"/>
          <w:szCs w:val="20"/>
          <w:color w:val="auto"/>
        </w:rPr>
      </w:pPr>
    </w:p>
    <w:p>
      <w:pPr>
        <w:jc w:val="both"/>
        <w:ind w:firstLine="1278"/>
        <w:spacing w:after="0" w:line="261" w:lineRule="auto"/>
        <w:rPr>
          <w:sz w:val="20"/>
          <w:szCs w:val="20"/>
          <w:color w:val="auto"/>
        </w:rPr>
      </w:pPr>
      <w:r>
        <w:rPr>
          <w:rFonts w:ascii="Times New Roman" w:cs="Times New Roman" w:eastAsia="Times New Roman" w:hAnsi="Times New Roman"/>
          <w:sz w:val="18"/>
          <w:szCs w:val="18"/>
          <w:color w:val="auto"/>
        </w:rPr>
        <w:t>Notwithstanding any provision to the contrary contained herein, if for any reason the Commencement Date shall not occur or Sublandlord shall not deliver possession of the Premises to Subtenant on or after the Start Date, Sublandlord shall not be subject to any liability therefor, nor shall such failure affect the validity of this Sublease or the obligations of Subtenant hereunder or extend the Term.</w:t>
      </w:r>
    </w:p>
    <w:p>
      <w:pPr>
        <w:spacing w:after="0" w:line="161" w:lineRule="exact"/>
        <w:rPr>
          <w:sz w:val="20"/>
          <w:szCs w:val="20"/>
          <w:color w:val="auto"/>
        </w:rPr>
      </w:pPr>
    </w:p>
    <w:p>
      <w:pPr>
        <w:ind w:left="1280" w:hanging="635"/>
        <w:spacing w:after="0"/>
        <w:tabs>
          <w:tab w:leader="none" w:pos="1280"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Rent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6"/>
          <w:szCs w:val="16"/>
          <w:b w:val="1"/>
          <w:bCs w:val="1"/>
          <w:color w:val="auto"/>
        </w:rPr>
      </w:pPr>
    </w:p>
    <w:p>
      <w:pPr>
        <w:ind w:left="12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3.1</w:t>
      </w:r>
      <w:r>
        <w:rPr>
          <w:rFonts w:ascii="Times New Roman" w:cs="Times New Roman" w:eastAsia="Times New Roman" w:hAnsi="Times New Roman"/>
          <w:sz w:val="18"/>
          <w:szCs w:val="18"/>
          <w:b w:val="1"/>
          <w:bCs w:val="1"/>
          <w:u w:val="single" w:color="auto"/>
          <w:color w:val="auto"/>
        </w:rPr>
        <w:t>Base Rent</w:t>
      </w:r>
      <w:r>
        <w:rPr>
          <w:rFonts w:ascii="Times New Roman" w:cs="Times New Roman" w:eastAsia="Times New Roman" w:hAnsi="Times New Roman"/>
          <w:sz w:val="18"/>
          <w:szCs w:val="18"/>
          <w:color w:val="auto"/>
        </w:rPr>
        <w:t>. During each month of the Term of this Sublease, Subtenant shall pay as rent for the Premises (“</w:t>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ectPr>
          <w:pgSz w:w="11900" w:h="16838" w:orient="portrait"/>
          <w:cols w:equalWidth="0" w:num="1">
            <w:col w:w="11240"/>
          </w:cols>
          <w:pgMar w:left="320" w:top="1440" w:right="339" w:bottom="1440" w:gutter="0" w:footer="0" w:header="0"/>
        </w:sectPr>
      </w:pPr>
    </w:p>
    <w:bookmarkStart w:id="177" w:name="page178"/>
    <w:bookmarkEnd w:id="177"/>
    <w:tbl>
      <w:tblPr>
        <w:tblLayout w:type="fixed"/>
        <w:tblInd w:w="1120" w:type="dxa"/>
        <w:tblCellMar>
          <w:top w:w="0" w:type="dxa"/>
          <w:left w:w="0" w:type="dxa"/>
          <w:bottom w:w="0" w:type="dxa"/>
          <w:right w:w="0" w:type="dxa"/>
        </w:tblCellMar>
      </w:tblPr>
      <w:tr>
        <w:trPr>
          <w:trHeight w:val="207"/>
        </w:trPr>
        <w:tc>
          <w:tcPr>
            <w:tcW w:w="24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86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w w:val="96"/>
              </w:rPr>
              <w:t>Monthly</w:t>
            </w:r>
          </w:p>
        </w:tc>
        <w:tc>
          <w:tcPr>
            <w:tcW w:w="2200" w:type="dxa"/>
            <w:vAlign w:val="bottom"/>
          </w:tcPr>
          <w:p>
            <w:pPr>
              <w:jc w:val="center"/>
              <w:ind w:left="1111"/>
              <w:spacing w:after="0"/>
              <w:rPr>
                <w:sz w:val="20"/>
                <w:szCs w:val="20"/>
                <w:color w:val="auto"/>
              </w:rPr>
            </w:pPr>
            <w:r>
              <w:rPr>
                <w:rFonts w:ascii="Times New Roman" w:cs="Times New Roman" w:eastAsia="Times New Roman" w:hAnsi="Times New Roman"/>
                <w:sz w:val="18"/>
                <w:szCs w:val="18"/>
                <w:b w:val="1"/>
                <w:bCs w:val="1"/>
                <w:color w:val="auto"/>
                <w:w w:val="98"/>
              </w:rPr>
              <w:t>Annual</w:t>
            </w:r>
          </w:p>
        </w:tc>
      </w:tr>
      <w:tr>
        <w:trPr>
          <w:trHeight w:val="234"/>
        </w:trPr>
        <w:tc>
          <w:tcPr>
            <w:tcW w:w="2420" w:type="dxa"/>
            <w:vAlign w:val="bottom"/>
          </w:tcPr>
          <w:p>
            <w:pPr>
              <w:spacing w:after="0"/>
              <w:rPr>
                <w:sz w:val="20"/>
                <w:szCs w:val="20"/>
                <w:color w:val="auto"/>
              </w:rPr>
            </w:pPr>
          </w:p>
        </w:tc>
        <w:tc>
          <w:tcPr>
            <w:tcW w:w="286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w w:val="98"/>
              </w:rPr>
              <w:t>Base Rent</w:t>
            </w:r>
          </w:p>
        </w:tc>
        <w:tc>
          <w:tcPr>
            <w:tcW w:w="2200" w:type="dxa"/>
            <w:vAlign w:val="bottom"/>
          </w:tcPr>
          <w:p>
            <w:pPr>
              <w:jc w:val="center"/>
              <w:ind w:left="1111"/>
              <w:spacing w:after="0"/>
              <w:rPr>
                <w:sz w:val="20"/>
                <w:szCs w:val="20"/>
                <w:color w:val="auto"/>
              </w:rPr>
            </w:pPr>
            <w:r>
              <w:rPr>
                <w:rFonts w:ascii="Times New Roman" w:cs="Times New Roman" w:eastAsia="Times New Roman" w:hAnsi="Times New Roman"/>
                <w:sz w:val="18"/>
                <w:szCs w:val="18"/>
                <w:b w:val="1"/>
                <w:bCs w:val="1"/>
                <w:color w:val="auto"/>
                <w:w w:val="98"/>
              </w:rPr>
              <w:t>Base Rent</w:t>
            </w:r>
          </w:p>
        </w:tc>
      </w:tr>
      <w:tr>
        <w:trPr>
          <w:trHeight w:val="227"/>
        </w:trPr>
        <w:tc>
          <w:tcPr>
            <w:tcW w:w="242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8"/>
              </w:rPr>
              <w:t>1/1/2022 – 12/31/2022</w:t>
            </w:r>
          </w:p>
        </w:tc>
        <w:tc>
          <w:tcPr>
            <w:tcW w:w="2860" w:type="dxa"/>
            <w:vAlign w:val="bottom"/>
          </w:tcPr>
          <w:p>
            <w:pPr>
              <w:jc w:val="center"/>
              <w:ind w:right="291"/>
              <w:spacing w:after="0"/>
              <w:rPr>
                <w:sz w:val="20"/>
                <w:szCs w:val="20"/>
                <w:color w:val="auto"/>
              </w:rPr>
            </w:pPr>
            <w:r>
              <w:rPr>
                <w:rFonts w:ascii="Times New Roman" w:cs="Times New Roman" w:eastAsia="Times New Roman" w:hAnsi="Times New Roman"/>
                <w:sz w:val="18"/>
                <w:szCs w:val="18"/>
                <w:color w:val="auto"/>
                <w:w w:val="97"/>
              </w:rPr>
              <w:t>$103,900.42</w:t>
            </w:r>
          </w:p>
        </w:tc>
        <w:tc>
          <w:tcPr>
            <w:tcW w:w="2200" w:type="dxa"/>
            <w:vAlign w:val="bottom"/>
          </w:tcPr>
          <w:p>
            <w:pPr>
              <w:jc w:val="center"/>
              <w:ind w:left="1091"/>
              <w:spacing w:after="0"/>
              <w:rPr>
                <w:sz w:val="20"/>
                <w:szCs w:val="20"/>
                <w:color w:val="auto"/>
              </w:rPr>
            </w:pPr>
            <w:r>
              <w:rPr>
                <w:rFonts w:ascii="Times New Roman" w:cs="Times New Roman" w:eastAsia="Times New Roman" w:hAnsi="Times New Roman"/>
                <w:sz w:val="18"/>
                <w:szCs w:val="18"/>
                <w:color w:val="auto"/>
                <w:w w:val="98"/>
              </w:rPr>
              <w:t>$1,246,805.00</w:t>
            </w:r>
          </w:p>
        </w:tc>
      </w:tr>
      <w:tr>
        <w:trPr>
          <w:trHeight w:val="226"/>
        </w:trPr>
        <w:tc>
          <w:tcPr>
            <w:tcW w:w="242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8"/>
              </w:rPr>
              <w:t>1/1/2023 – 12/31/2023</w:t>
            </w:r>
          </w:p>
        </w:tc>
        <w:tc>
          <w:tcPr>
            <w:tcW w:w="2860" w:type="dxa"/>
            <w:vAlign w:val="bottom"/>
          </w:tcPr>
          <w:p>
            <w:pPr>
              <w:jc w:val="center"/>
              <w:ind w:right="291"/>
              <w:spacing w:after="0"/>
              <w:rPr>
                <w:sz w:val="20"/>
                <w:szCs w:val="20"/>
                <w:color w:val="auto"/>
              </w:rPr>
            </w:pPr>
            <w:r>
              <w:rPr>
                <w:rFonts w:ascii="Times New Roman" w:cs="Times New Roman" w:eastAsia="Times New Roman" w:hAnsi="Times New Roman"/>
                <w:sz w:val="18"/>
                <w:szCs w:val="18"/>
                <w:color w:val="auto"/>
                <w:w w:val="97"/>
              </w:rPr>
              <w:t>$106,020.83</w:t>
            </w:r>
          </w:p>
        </w:tc>
        <w:tc>
          <w:tcPr>
            <w:tcW w:w="2200" w:type="dxa"/>
            <w:vAlign w:val="bottom"/>
          </w:tcPr>
          <w:p>
            <w:pPr>
              <w:jc w:val="center"/>
              <w:ind w:left="1091"/>
              <w:spacing w:after="0"/>
              <w:rPr>
                <w:sz w:val="20"/>
                <w:szCs w:val="20"/>
                <w:color w:val="auto"/>
              </w:rPr>
            </w:pPr>
            <w:r>
              <w:rPr>
                <w:rFonts w:ascii="Times New Roman" w:cs="Times New Roman" w:eastAsia="Times New Roman" w:hAnsi="Times New Roman"/>
                <w:sz w:val="18"/>
                <w:szCs w:val="18"/>
                <w:color w:val="auto"/>
                <w:w w:val="98"/>
              </w:rPr>
              <w:t>$1,272,250.00</w:t>
            </w:r>
          </w:p>
        </w:tc>
      </w:tr>
      <w:tr>
        <w:trPr>
          <w:trHeight w:val="226"/>
        </w:trPr>
        <w:tc>
          <w:tcPr>
            <w:tcW w:w="242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8"/>
              </w:rPr>
              <w:t>1/1/2024 – 12/31/2024</w:t>
            </w:r>
          </w:p>
        </w:tc>
        <w:tc>
          <w:tcPr>
            <w:tcW w:w="2860" w:type="dxa"/>
            <w:vAlign w:val="bottom"/>
          </w:tcPr>
          <w:p>
            <w:pPr>
              <w:jc w:val="center"/>
              <w:ind w:right="291"/>
              <w:spacing w:after="0"/>
              <w:rPr>
                <w:sz w:val="20"/>
                <w:szCs w:val="20"/>
                <w:color w:val="auto"/>
              </w:rPr>
            </w:pPr>
            <w:r>
              <w:rPr>
                <w:rFonts w:ascii="Times New Roman" w:cs="Times New Roman" w:eastAsia="Times New Roman" w:hAnsi="Times New Roman"/>
                <w:sz w:val="18"/>
                <w:szCs w:val="18"/>
                <w:color w:val="auto"/>
                <w:w w:val="97"/>
              </w:rPr>
              <w:t>$108,141.25</w:t>
            </w:r>
          </w:p>
        </w:tc>
        <w:tc>
          <w:tcPr>
            <w:tcW w:w="2200" w:type="dxa"/>
            <w:vAlign w:val="bottom"/>
          </w:tcPr>
          <w:p>
            <w:pPr>
              <w:jc w:val="center"/>
              <w:ind w:left="1091"/>
              <w:spacing w:after="0"/>
              <w:rPr>
                <w:sz w:val="20"/>
                <w:szCs w:val="20"/>
                <w:color w:val="auto"/>
              </w:rPr>
            </w:pPr>
            <w:r>
              <w:rPr>
                <w:rFonts w:ascii="Times New Roman" w:cs="Times New Roman" w:eastAsia="Times New Roman" w:hAnsi="Times New Roman"/>
                <w:sz w:val="18"/>
                <w:szCs w:val="18"/>
                <w:color w:val="auto"/>
                <w:w w:val="98"/>
              </w:rPr>
              <w:t>$1,297,695.00</w:t>
            </w:r>
          </w:p>
        </w:tc>
      </w:tr>
      <w:tr>
        <w:trPr>
          <w:trHeight w:val="232"/>
        </w:trPr>
        <w:tc>
          <w:tcPr>
            <w:tcW w:w="242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8"/>
              </w:rPr>
              <w:t>1/1/2025 – 12/31/2025</w:t>
            </w:r>
          </w:p>
        </w:tc>
        <w:tc>
          <w:tcPr>
            <w:tcW w:w="2860" w:type="dxa"/>
            <w:vAlign w:val="bottom"/>
          </w:tcPr>
          <w:p>
            <w:pPr>
              <w:jc w:val="center"/>
              <w:ind w:right="291"/>
              <w:spacing w:after="0"/>
              <w:rPr>
                <w:sz w:val="20"/>
                <w:szCs w:val="20"/>
                <w:color w:val="auto"/>
              </w:rPr>
            </w:pPr>
            <w:r>
              <w:rPr>
                <w:rFonts w:ascii="Times New Roman" w:cs="Times New Roman" w:eastAsia="Times New Roman" w:hAnsi="Times New Roman"/>
                <w:sz w:val="18"/>
                <w:szCs w:val="18"/>
                <w:color w:val="auto"/>
                <w:w w:val="97"/>
              </w:rPr>
              <w:t>$110,261.67</w:t>
            </w:r>
          </w:p>
        </w:tc>
        <w:tc>
          <w:tcPr>
            <w:tcW w:w="2200" w:type="dxa"/>
            <w:vAlign w:val="bottom"/>
          </w:tcPr>
          <w:p>
            <w:pPr>
              <w:jc w:val="center"/>
              <w:ind w:left="1091"/>
              <w:spacing w:after="0"/>
              <w:rPr>
                <w:sz w:val="20"/>
                <w:szCs w:val="20"/>
                <w:color w:val="auto"/>
              </w:rPr>
            </w:pPr>
            <w:r>
              <w:rPr>
                <w:rFonts w:ascii="Times New Roman" w:cs="Times New Roman" w:eastAsia="Times New Roman" w:hAnsi="Times New Roman"/>
                <w:sz w:val="18"/>
                <w:szCs w:val="18"/>
                <w:color w:val="auto"/>
                <w:w w:val="98"/>
              </w:rPr>
              <w:t>$1,323,140.00</w:t>
            </w:r>
          </w:p>
        </w:tc>
      </w:tr>
      <w:tr>
        <w:trPr>
          <w:trHeight w:val="493"/>
        </w:trPr>
        <w:tc>
          <w:tcPr>
            <w:tcW w:w="242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9"/>
              </w:rPr>
              <w:t>1/1/2026 – 2/28/2026</w:t>
            </w:r>
          </w:p>
        </w:tc>
        <w:tc>
          <w:tcPr>
            <w:tcW w:w="2860" w:type="dxa"/>
            <w:vAlign w:val="bottom"/>
          </w:tcPr>
          <w:p>
            <w:pPr>
              <w:jc w:val="center"/>
              <w:ind w:right="291"/>
              <w:spacing w:after="0"/>
              <w:rPr>
                <w:sz w:val="20"/>
                <w:szCs w:val="20"/>
                <w:color w:val="auto"/>
              </w:rPr>
            </w:pPr>
            <w:r>
              <w:rPr>
                <w:rFonts w:ascii="Times New Roman" w:cs="Times New Roman" w:eastAsia="Times New Roman" w:hAnsi="Times New Roman"/>
                <w:sz w:val="18"/>
                <w:szCs w:val="18"/>
                <w:color w:val="auto"/>
                <w:w w:val="97"/>
              </w:rPr>
              <w:t>$112,382.08</w:t>
            </w:r>
          </w:p>
        </w:tc>
        <w:tc>
          <w:tcPr>
            <w:tcW w:w="2200" w:type="dxa"/>
            <w:vAlign w:val="bottom"/>
          </w:tcPr>
          <w:p>
            <w:pPr>
              <w:jc w:val="center"/>
              <w:ind w:left="1091"/>
              <w:spacing w:after="0"/>
              <w:rPr>
                <w:sz w:val="20"/>
                <w:szCs w:val="20"/>
                <w:color w:val="auto"/>
              </w:rPr>
            </w:pPr>
            <w:r>
              <w:rPr>
                <w:rFonts w:ascii="Times New Roman" w:cs="Times New Roman" w:eastAsia="Times New Roman" w:hAnsi="Times New Roman"/>
                <w:sz w:val="18"/>
                <w:szCs w:val="18"/>
                <w:color w:val="auto"/>
                <w:w w:val="98"/>
              </w:rPr>
              <w:t>$1,348,585.00</w:t>
            </w:r>
          </w:p>
        </w:tc>
      </w:tr>
    </w:tbl>
    <w:p>
      <w:pPr>
        <w:spacing w:after="0" w:line="200" w:lineRule="exact"/>
        <w:rPr>
          <w:sz w:val="20"/>
          <w:szCs w:val="20"/>
          <w:color w:val="auto"/>
        </w:rPr>
      </w:pPr>
    </w:p>
    <w:p>
      <w:pPr>
        <w:spacing w:after="0" w:line="327" w:lineRule="exact"/>
        <w:rPr>
          <w:sz w:val="20"/>
          <w:szCs w:val="20"/>
          <w:color w:val="auto"/>
        </w:rPr>
      </w:pPr>
    </w:p>
    <w:p>
      <w:pPr>
        <w:jc w:val="both"/>
        <w:ind w:firstLine="1278"/>
        <w:spacing w:after="0" w:line="251" w:lineRule="auto"/>
        <w:rPr>
          <w:sz w:val="20"/>
          <w:szCs w:val="20"/>
          <w:color w:val="auto"/>
        </w:rPr>
      </w:pPr>
      <w:r>
        <w:rPr>
          <w:rFonts w:ascii="Times New Roman" w:cs="Times New Roman" w:eastAsia="Times New Roman" w:hAnsi="Times New Roman"/>
          <w:sz w:val="18"/>
          <w:szCs w:val="18"/>
          <w:color w:val="auto"/>
        </w:rPr>
        <w:t>Except as expressly set forth herein, Base Rent shall be paid to Sublandlord without demand, deduction, set-off or counterclaim, in advance on the first day of each calendar month during the Term of this Sublease, and in the event of a partial rental month, Base Rent shall be prorated on the basis of a thirty (30) day month. Subtenant shall pay to Sublandlord upon the execution hereof the first full monthly installment of Basic Rent. Notwithstanding anything contained in this Sublease to the contrary, in the event the Premises is not made available to Subtenant until after May 1, 2021, Subtenant’s obligation to commence paying Base Rent pursuant to the above referenced table shall be delayed on a day-for-day basis until the Premises is made available to Subtenant. For illustration purposes, if Sublandlord does not make the Premises available to Subtenant until May 20, 2021, Base Rent shall not commence until January 20, 2022.</w:t>
      </w:r>
    </w:p>
    <w:p>
      <w:pPr>
        <w:spacing w:after="0" w:line="17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3.2</w:t>
      </w:r>
      <w:r>
        <w:rPr>
          <w:sz w:val="20"/>
          <w:szCs w:val="20"/>
          <w:color w:val="auto"/>
        </w:rPr>
        <w:tab/>
      </w:r>
      <w:r>
        <w:rPr>
          <w:rFonts w:ascii="Times New Roman" w:cs="Times New Roman" w:eastAsia="Times New Roman" w:hAnsi="Times New Roman"/>
          <w:sz w:val="17"/>
          <w:szCs w:val="17"/>
          <w:b w:val="1"/>
          <w:bCs w:val="1"/>
          <w:u w:val="single" w:color="auto"/>
          <w:color w:val="auto"/>
        </w:rPr>
        <w:t>Operating Costs And Expenses</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jc w:val="both"/>
        <w:ind w:firstLine="1917"/>
        <w:spacing w:after="0" w:line="232" w:lineRule="auto"/>
        <w:rPr>
          <w:sz w:val="20"/>
          <w:szCs w:val="20"/>
          <w:color w:val="auto"/>
        </w:rPr>
      </w:pPr>
      <w:r>
        <w:rPr>
          <w:rFonts w:ascii="Times New Roman" w:cs="Times New Roman" w:eastAsia="Times New Roman" w:hAnsi="Times New Roman"/>
          <w:sz w:val="16"/>
          <w:szCs w:val="16"/>
          <w:b w:val="1"/>
          <w:bCs w:val="1"/>
          <w:color w:val="auto"/>
        </w:rPr>
        <w:t xml:space="preserve">3.2.1 </w:t>
      </w:r>
      <w:r>
        <w:rPr>
          <w:rFonts w:ascii="Times New Roman" w:cs="Times New Roman" w:eastAsia="Times New Roman" w:hAnsi="Times New Roman"/>
          <w:sz w:val="17"/>
          <w:szCs w:val="17"/>
          <w:color w:val="auto"/>
        </w:rPr>
        <w:t>Subtenant shall have no obligation to pay to Sublandlord any Operating Expenses and Real Estate Taxes (as those terms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are defined in the Master Lease); provided, however, Subtenant shall be responsible for the electricity costs associated with electricity usage for the Premises.</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In addition, if Subtenant shall procure additional services under the Lease, or if additional rent or other sums are incurred for Subtenant’s sole benefit, including but not limited to (i) after-hours HVAC charges and excess electrical consumption charges, extra janitorial services, or repairs and replacements to the Premises caused or permitted by Subtenant, and (ii) any and all charges of Master Landlord or other amounts payable to Master Landlord under the</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Master Lease caused by Subtenant’s failure to perform its obligations under this Sublease. Subtenant agrees to arrange for such costs and expenses to be paid directly to Master Landlord; provided, however, if Master Landlord does not permit such a direct payment arrangement for said costs and expenses with Subtenant (and instead requires that Sublandlord pay Master Landlord directly for such costs and expenses), such amounts shall be payable by Subtenant to</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Sublandlord within twenty (20) days of Sublandlord’s written demand therefor, which demand shall be accompanied by copies of Master Landlord’s bills with respect thereto (if the same shall have been previously delivered to Sublandlord).</w:t>
      </w:r>
    </w:p>
    <w:p>
      <w:pPr>
        <w:spacing w:after="0" w:line="154" w:lineRule="exact"/>
        <w:rPr>
          <w:sz w:val="20"/>
          <w:szCs w:val="20"/>
          <w:color w:val="auto"/>
        </w:rPr>
      </w:pPr>
    </w:p>
    <w:p>
      <w:pPr>
        <w:ind w:left="192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3.2.2</w:t>
      </w:r>
      <w:r>
        <w:rPr>
          <w:sz w:val="20"/>
          <w:szCs w:val="20"/>
          <w:color w:val="auto"/>
        </w:rPr>
        <w:tab/>
      </w:r>
      <w:r>
        <w:rPr>
          <w:rFonts w:ascii="Times New Roman" w:cs="Times New Roman" w:eastAsia="Times New Roman" w:hAnsi="Times New Roman"/>
          <w:sz w:val="18"/>
          <w:szCs w:val="18"/>
          <w:color w:val="auto"/>
        </w:rPr>
        <w:t>All forms of additional rent and any other amounts payable by Subtenant to Sublandlord shall be payable by Subtenant</w:t>
      </w:r>
    </w:p>
    <w:p>
      <w:pPr>
        <w:jc w:val="both"/>
        <w:spacing w:after="0" w:line="215" w:lineRule="auto"/>
        <w:rPr>
          <w:sz w:val="20"/>
          <w:szCs w:val="20"/>
          <w:color w:val="auto"/>
        </w:rPr>
      </w:pPr>
      <w:r>
        <w:rPr>
          <w:rFonts w:ascii="Times New Roman" w:cs="Times New Roman" w:eastAsia="Times New Roman" w:hAnsi="Times New Roman"/>
          <w:sz w:val="18"/>
          <w:szCs w:val="18"/>
          <w:color w:val="auto"/>
        </w:rPr>
        <w:t>without notice (except as expressly provided to the contrary herein), demand, deduction, offset or abatement in lawful money of the United States to Sublandlord at such places and to such persons as Sublandlord may direct. All such amounts, together with Base Rent, are collectively referred to herein as “Rent.”</w:t>
      </w:r>
    </w:p>
    <w:p>
      <w:pPr>
        <w:spacing w:after="0" w:line="169" w:lineRule="exact"/>
        <w:rPr>
          <w:sz w:val="20"/>
          <w:szCs w:val="20"/>
          <w:color w:val="auto"/>
        </w:rPr>
      </w:pPr>
    </w:p>
    <w:p>
      <w:pPr>
        <w:jc w:val="both"/>
        <w:ind w:firstLine="1917"/>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3.2.3 </w:t>
      </w:r>
      <w:r>
        <w:rPr>
          <w:rFonts w:ascii="Times New Roman" w:cs="Times New Roman" w:eastAsia="Times New Roman" w:hAnsi="Times New Roman"/>
          <w:sz w:val="17"/>
          <w:szCs w:val="17"/>
          <w:color w:val="auto"/>
        </w:rPr>
        <w:t>If any installment or other payment of Rent is paid to Sublandlord more than three (3) business days after such payment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due, such unpaid amount shall bear interest, from the due date thereof to the date of payment, at the lower of (i) 12% per annum, or (ii) the maximum legal rate of interest permitted from time to time under law to be charged. In addition, if any installment of Rent is not paid by Subtenant to Sublandlord within</w:t>
      </w:r>
    </w:p>
    <w:p>
      <w:pPr>
        <w:jc w:val="both"/>
        <w:spacing w:after="0" w:line="205" w:lineRule="auto"/>
        <w:rPr>
          <w:sz w:val="20"/>
          <w:szCs w:val="20"/>
          <w:color w:val="auto"/>
        </w:rPr>
      </w:pPr>
      <w:r>
        <w:rPr>
          <w:rFonts w:ascii="Times New Roman" w:cs="Times New Roman" w:eastAsia="Times New Roman" w:hAnsi="Times New Roman"/>
          <w:sz w:val="18"/>
          <w:szCs w:val="18"/>
          <w:color w:val="auto"/>
        </w:rPr>
        <w:t>three (3) business days of the date due hereunder, Subtenant shall, within ten (10) days of Sublandlord’s written demand therefor, pay to Sublandlord a late charge equal to five percent (5%) of the overdue Rent; provided, however, Sublandlord agrees to waive one-time during the first twelve (12) months of the Term such late fee. The parties agree that the late charge represents a fair and reasonable estimate of the costs that Sublandlord will incur by reason of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 payment by Subtenant. All interest and late charges accrued under this Section shall be deemed to be additional rent payable hereunder.</w:t>
      </w:r>
    </w:p>
    <w:p>
      <w:pPr>
        <w:spacing w:after="0" w:line="157" w:lineRule="exact"/>
        <w:rPr>
          <w:sz w:val="20"/>
          <w:szCs w:val="20"/>
          <w:color w:val="auto"/>
        </w:rPr>
      </w:pPr>
    </w:p>
    <w:p>
      <w:pPr>
        <w:ind w:left="1280" w:hanging="635"/>
        <w:spacing w:after="0"/>
        <w:tabs>
          <w:tab w:leader="none" w:pos="1280"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0" w:right="339" w:bottom="1440" w:gutter="0" w:footer="0" w:header="0"/>
        </w:sectPr>
      </w:pPr>
    </w:p>
    <w:bookmarkStart w:id="178" w:name="page179"/>
    <w:bookmarkEnd w:id="178"/>
    <w:p>
      <w:pPr>
        <w:jc w:val="both"/>
        <w:ind w:firstLine="1278"/>
        <w:spacing w:after="0" w:line="232"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Times New Roman" w:cs="Times New Roman" w:eastAsia="Times New Roman" w:hAnsi="Times New Roman"/>
          <w:sz w:val="17"/>
          <w:szCs w:val="17"/>
          <w:color w:val="auto"/>
        </w:rPr>
        <w:t>Concurrently with the parties’ execution of this Sublease, Subtenant shall deposit with Sublandlord upon Subtenant’s execution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hereof $415,601.68 (“</w:t>
      </w:r>
      <w:r>
        <w:rPr>
          <w:rFonts w:ascii="Times New Roman" w:cs="Times New Roman" w:eastAsia="Times New Roman" w:hAnsi="Times New Roman"/>
          <w:sz w:val="17"/>
          <w:szCs w:val="17"/>
          <w:b w:val="1"/>
          <w:bCs w:val="1"/>
          <w:color w:val="auto"/>
        </w:rPr>
        <w:t>Security Deposit</w:t>
      </w:r>
      <w:r>
        <w:rPr>
          <w:rFonts w:ascii="Times New Roman" w:cs="Times New Roman" w:eastAsia="Times New Roman" w:hAnsi="Times New Roman"/>
          <w:sz w:val="17"/>
          <w:szCs w:val="17"/>
          <w:color w:val="auto"/>
        </w:rPr>
        <w:t>”) as security for Subtenant’s faithful performance of Subtenant’s obligations hereunder in the form of a letter of credit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as more particularly identified below. If Subtenant fails to pay Rent or other charges due hereunder, or otherwise defaults with respect to any provision of this Sublease, all beyond applicable notice and cure periods, Sublandlord may use, apply or retain all or any portion of the Security Deposit for the payment of Rent or any other charge in default or for the payment of any other sum to which Sublandlord may become obligated by reason of Subtenant’s default, or to</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compensate Sublandlord for any loss or damage which Sublandlord has suffered thereby. If Sublandlord so uses or applies all or any portion of the Security Deposit, Subtenant shall within ten (10) days after written demand therefor deposit cash with Sublandlord in an amount sufficient to restore the Security Deposit to its full amount, and Subtenant’s failure to do so shall be a material breach of this Sublease. Sublandlord shall not be required to keep the Security</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Deposit separate from its general accounts and the Security Deposit shall not bear interest. At the expiration or earlier termination of the Term hereof and following performance of all of Subtenant’s obligations hereunder (including, without limitation, vacation of the Premises in accordance with the provisions hereof), the Security Deposit, or so much thereof as has not theretofore been applied by Sublandlord, shall be returned, without payment of interest or other</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incurment for its use to Subtenant (or at Sublandlord’s option, to the last assignee, if any, of Subtenant’s interest hereunder). No trust relationship is created herein between Sublandlord and Subtenant with respect to the Security Deposit. Any deposit under the Master Lease which may be returned by the Master Landlord shall be the property of Sublandlord.</w:t>
      </w:r>
    </w:p>
    <w:p>
      <w:pPr>
        <w:spacing w:after="0" w:line="169" w:lineRule="exact"/>
        <w:rPr>
          <w:sz w:val="20"/>
          <w:szCs w:val="20"/>
          <w:color w:val="auto"/>
        </w:rPr>
      </w:pPr>
    </w:p>
    <w:p>
      <w:pPr>
        <w:jc w:val="both"/>
        <w:ind w:firstLine="1278"/>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Times New Roman" w:cs="Times New Roman" w:eastAsia="Times New Roman" w:hAnsi="Times New Roman"/>
          <w:sz w:val="17"/>
          <w:szCs w:val="17"/>
          <w:color w:val="auto"/>
        </w:rPr>
        <w:t>In lieu of the cash security required by this Sublease, Subtenant shall provide to Sublandlord an irrevocable transferrable letter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credit (the “</w:t>
      </w:r>
      <w:r>
        <w:rPr>
          <w:rFonts w:ascii="Times New Roman" w:cs="Times New Roman" w:eastAsia="Times New Roman" w:hAnsi="Times New Roman"/>
          <w:sz w:val="17"/>
          <w:szCs w:val="17"/>
          <w:b w:val="1"/>
          <w:bCs w:val="1"/>
          <w:color w:val="auto"/>
        </w:rPr>
        <w:t>Letter of Credit</w:t>
      </w:r>
      <w:r>
        <w:rPr>
          <w:rFonts w:ascii="Times New Roman" w:cs="Times New Roman" w:eastAsia="Times New Roman" w:hAnsi="Times New Roman"/>
          <w:sz w:val="17"/>
          <w:szCs w:val="17"/>
          <w:color w:val="auto"/>
        </w:rPr>
        <w:t xml:space="preserve">”) in the amount of the Security Deposit in form annexed hereto as </w:t>
      </w:r>
      <w:r>
        <w:rPr>
          <w:rFonts w:ascii="Times New Roman" w:cs="Times New Roman" w:eastAsia="Times New Roman" w:hAnsi="Times New Roman"/>
          <w:sz w:val="17"/>
          <w:szCs w:val="17"/>
          <w:b w:val="1"/>
          <w:bCs w:val="1"/>
          <w:color w:val="auto"/>
        </w:rPr>
        <w:t>Exhibit E</w:t>
      </w:r>
      <w:r>
        <w:rPr>
          <w:rFonts w:ascii="Times New Roman" w:cs="Times New Roman" w:eastAsia="Times New Roman" w:hAnsi="Times New Roman"/>
          <w:sz w:val="17"/>
          <w:szCs w:val="17"/>
          <w:color w:val="auto"/>
        </w:rPr>
        <w:t xml:space="preserve"> and issued by a financial institution reasonably approved by Sublandlord. The parties acknowledge that Silicon Valley Bank shall be an approved issuer for purposes of this Article 4. Sublandlord shall have</w:t>
      </w:r>
    </w:p>
    <w:p>
      <w:pPr>
        <w:jc w:val="both"/>
        <w:spacing w:after="0" w:line="205" w:lineRule="auto"/>
        <w:rPr>
          <w:sz w:val="20"/>
          <w:szCs w:val="20"/>
          <w:color w:val="auto"/>
        </w:rPr>
      </w:pPr>
      <w:r>
        <w:rPr>
          <w:rFonts w:ascii="Times New Roman" w:cs="Times New Roman" w:eastAsia="Times New Roman" w:hAnsi="Times New Roman"/>
          <w:sz w:val="18"/>
          <w:szCs w:val="18"/>
          <w:color w:val="auto"/>
        </w:rPr>
        <w:t>the right, in the event of a default of Subtenant beyond any applicable notice and cure periods, and regardless of the exercise of any other remedy the Sublandlord may have by reason of a default, to draw upon the Letter of Credit to cure any default beyond any applicable notice and cure periods of Subtenant or for any purpose authorized by section 4.1 of this Sublease and if Sublandlord does so, Subtenant shall, within ten (10) days of Sublandlord’s</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written demand, additionally fund the Letter of Credit with the amount so drawn so that Sublandlord shall have the full deposit on hand at all times during the Term and for a period of sixty (60) days' thereafter. In the event of a sale or other transfer of Sublandlord’s interest in this Sublease, Sublandlord shall transfer the security to such transferee.</w:t>
      </w:r>
    </w:p>
    <w:p>
      <w:pPr>
        <w:spacing w:after="0" w:line="169" w:lineRule="exact"/>
        <w:rPr>
          <w:sz w:val="20"/>
          <w:szCs w:val="20"/>
          <w:color w:val="auto"/>
        </w:rPr>
      </w:pPr>
    </w:p>
    <w:p>
      <w:pPr>
        <w:jc w:val="both"/>
        <w:ind w:firstLine="1278"/>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7"/>
          <w:szCs w:val="17"/>
          <w:color w:val="auto"/>
        </w:rPr>
        <w:t>The Letter of Credit shall expire not earlier than sixty (60) days after the Expiration Date. Upon Sublandlord's prior consent,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Letter of Credit may be of the type which is automatically renewed on an annual basis (“</w:t>
      </w:r>
      <w:r>
        <w:rPr>
          <w:rFonts w:ascii="Times New Roman" w:cs="Times New Roman" w:eastAsia="Times New Roman" w:hAnsi="Times New Roman"/>
          <w:sz w:val="17"/>
          <w:szCs w:val="17"/>
          <w:b w:val="1"/>
          <w:bCs w:val="1"/>
          <w:color w:val="auto"/>
        </w:rPr>
        <w:t>Annual Renewal Date</w:t>
      </w:r>
      <w:r>
        <w:rPr>
          <w:rFonts w:ascii="Times New Roman" w:cs="Times New Roman" w:eastAsia="Times New Roman" w:hAnsi="Times New Roman"/>
          <w:sz w:val="17"/>
          <w:szCs w:val="17"/>
          <w:color w:val="auto"/>
        </w:rPr>
        <w:t>”), provided however, in such event Subtenant shall maintain the Letter of Credit and its renewals in full force and effect during the entire Term and for a period of sixty (60) days thereafter. The</w:t>
      </w:r>
    </w:p>
    <w:p>
      <w:pPr>
        <w:jc w:val="both"/>
        <w:spacing w:after="0" w:line="223" w:lineRule="auto"/>
        <w:rPr>
          <w:sz w:val="20"/>
          <w:szCs w:val="20"/>
          <w:color w:val="auto"/>
        </w:rPr>
      </w:pPr>
      <w:r>
        <w:rPr>
          <w:rFonts w:ascii="Times New Roman" w:cs="Times New Roman" w:eastAsia="Times New Roman" w:hAnsi="Times New Roman"/>
          <w:sz w:val="18"/>
          <w:szCs w:val="18"/>
          <w:color w:val="auto"/>
        </w:rPr>
        <w:t>Letter of Credit will contain a provision requiring the issuer thereof to give the beneficiary (i.e., Sublandlord) sixty (60) days' advance written notice of its intention not to renew the Letter of Credit on the next Annual Renewal Date.</w:t>
      </w:r>
    </w:p>
    <w:p>
      <w:pPr>
        <w:spacing w:after="0" w:line="154"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4.4</w:t>
      </w:r>
      <w:r>
        <w:rPr>
          <w:sz w:val="20"/>
          <w:szCs w:val="20"/>
          <w:color w:val="auto"/>
        </w:rPr>
        <w:tab/>
      </w:r>
      <w:r>
        <w:rPr>
          <w:rFonts w:ascii="Times New Roman" w:cs="Times New Roman" w:eastAsia="Times New Roman" w:hAnsi="Times New Roman"/>
          <w:sz w:val="18"/>
          <w:szCs w:val="18"/>
          <w:color w:val="auto"/>
        </w:rPr>
        <w:t>In the event Subtenant shall fail to deliver to Sublandlord a substitute irrevocable Letter of Credit, in the amount stated above, on</w:t>
      </w:r>
    </w:p>
    <w:p>
      <w:pPr>
        <w:jc w:val="both"/>
        <w:spacing w:after="0" w:line="217" w:lineRule="auto"/>
        <w:rPr>
          <w:sz w:val="20"/>
          <w:szCs w:val="20"/>
          <w:color w:val="auto"/>
        </w:rPr>
      </w:pPr>
      <w:r>
        <w:rPr>
          <w:rFonts w:ascii="Times New Roman" w:cs="Times New Roman" w:eastAsia="Times New Roman" w:hAnsi="Times New Roman"/>
          <w:sz w:val="17"/>
          <w:szCs w:val="17"/>
          <w:color w:val="auto"/>
        </w:rPr>
        <w:t>or before thirty (30) days prior to the next Annual Renewal Date, said failure shall be deemed a default under this Sublease. Sublandlord may, in its discretion treat this the same as a default in the payment of Rent or any other default and pursue the appropriate remedy following any applicable notice and cure periods. In addition, and not in limitation, Sublandlord shall be permitted to draw upon the Letter of Credit as in the case of any other default (beyond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notice and cure periods) by Subtenant under this Sublease.</w:t>
      </w:r>
    </w:p>
    <w:p>
      <w:pPr>
        <w:spacing w:after="0" w:line="157" w:lineRule="exact"/>
        <w:rPr>
          <w:sz w:val="20"/>
          <w:szCs w:val="20"/>
          <w:color w:val="auto"/>
        </w:rPr>
      </w:pPr>
    </w:p>
    <w:p>
      <w:pPr>
        <w:ind w:firstLine="645"/>
        <w:spacing w:after="0" w:line="236" w:lineRule="auto"/>
        <w:tabs>
          <w:tab w:leader="none" w:pos="1278"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Use</w:t>
      </w:r>
      <w:r>
        <w:rPr>
          <w:rFonts w:ascii="Times New Roman" w:cs="Times New Roman" w:eastAsia="Times New Roman" w:hAnsi="Times New Roman"/>
          <w:sz w:val="18"/>
          <w:szCs w:val="18"/>
          <w:color w:val="auto"/>
        </w:rPr>
        <w:t>. Subtenant shall use and occupy the Premises only for general office purposes and for any other purposes permitted pursuant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6(a) of the Original lease and no other purpose.</w:t>
      </w:r>
    </w:p>
    <w:p>
      <w:pPr>
        <w:spacing w:after="0" w:line="152" w:lineRule="exact"/>
        <w:rPr>
          <w:rFonts w:ascii="Times New Roman" w:cs="Times New Roman" w:eastAsia="Times New Roman" w:hAnsi="Times New Roman"/>
          <w:sz w:val="16"/>
          <w:szCs w:val="16"/>
          <w:b w:val="1"/>
          <w:bCs w:val="1"/>
          <w:color w:val="auto"/>
        </w:rPr>
      </w:pPr>
    </w:p>
    <w:p>
      <w:pPr>
        <w:ind w:left="1280" w:hanging="635"/>
        <w:spacing w:after="0"/>
        <w:tabs>
          <w:tab w:leader="none" w:pos="1280"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Parking</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78"/>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7"/>
          <w:szCs w:val="17"/>
          <w:b w:val="1"/>
          <w:bCs w:val="1"/>
          <w:u w:val="single" w:color="auto"/>
          <w:color w:val="auto"/>
        </w:rPr>
        <w:t>Grant</w:t>
      </w:r>
      <w:r>
        <w:rPr>
          <w:rFonts w:ascii="Times New Roman" w:cs="Times New Roman" w:eastAsia="Times New Roman" w:hAnsi="Times New Roman"/>
          <w:sz w:val="17"/>
          <w:szCs w:val="17"/>
          <w:color w:val="auto"/>
        </w:rPr>
        <w:t>. To the extent assignable under the Master Lease and subject to the provisions of this Section 6, Subtenant shall have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right to sublease six (6) monthly parking contracts for automobile parking in the parking facilities described in the Master Lease (the “</w:t>
      </w:r>
      <w:r>
        <w:rPr>
          <w:rFonts w:ascii="Times New Roman" w:cs="Times New Roman" w:eastAsia="Times New Roman" w:hAnsi="Times New Roman"/>
          <w:sz w:val="17"/>
          <w:szCs w:val="17"/>
          <w:b w:val="1"/>
          <w:bCs w:val="1"/>
          <w:color w:val="auto"/>
        </w:rPr>
        <w:t>Parking Facilities</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Building Parking Privileges</w:t>
      </w:r>
      <w:r>
        <w:rPr>
          <w:rFonts w:ascii="Times New Roman" w:cs="Times New Roman" w:eastAsia="Times New Roman" w:hAnsi="Times New Roman"/>
          <w:sz w:val="17"/>
          <w:szCs w:val="17"/>
          <w:color w:val="auto"/>
        </w:rPr>
        <w:t>”) during the Term; provided, however, in the event Master Landlord shall reduce the number of Building Parking</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Privileges made available to Sublandlord by Master Landlord from time to time during the Term, Sublandlord shall have the right, effective upon written notice to Subtenant, to reduce the number of Building Parking Privileges available to Subtenant on a basis proportionate to the reduction in Sublandlord’s Building Parking Privileges. Such Building Parking Privileges shall be for unassigned spaces in the Parking Facilities. If Subtenant requires use of</w:t>
      </w:r>
    </w:p>
    <w:p>
      <w:pPr>
        <w:sectPr>
          <w:pgSz w:w="11900" w:h="16838" w:orient="portrait"/>
          <w:cols w:equalWidth="0" w:num="1">
            <w:col w:w="11240"/>
          </w:cols>
          <w:pgMar w:left="320" w:top="1386" w:right="339" w:bottom="1440" w:gutter="0" w:footer="0" w:header="0"/>
        </w:sectPr>
      </w:pPr>
    </w:p>
    <w:bookmarkStart w:id="179" w:name="page180"/>
    <w:bookmarkEnd w:id="179"/>
    <w:p>
      <w:pPr>
        <w:jc w:val="both"/>
        <w:spacing w:after="0" w:line="234" w:lineRule="auto"/>
        <w:rPr>
          <w:sz w:val="20"/>
          <w:szCs w:val="20"/>
          <w:color w:val="auto"/>
        </w:rPr>
      </w:pPr>
      <w:r>
        <w:rPr>
          <w:rFonts w:ascii="Times New Roman" w:cs="Times New Roman" w:eastAsia="Times New Roman" w:hAnsi="Times New Roman"/>
          <w:sz w:val="18"/>
          <w:szCs w:val="18"/>
          <w:color w:val="auto"/>
        </w:rPr>
        <w:t>extra parking spaces in the Parking Facilities during the Term, Subtenant shall contract directly with Master Landlord for such parking spaces, which shall be outside the scope of this Sublease.</w:t>
      </w:r>
    </w:p>
    <w:p>
      <w:pPr>
        <w:spacing w:after="0" w:line="167" w:lineRule="exact"/>
        <w:rPr>
          <w:sz w:val="20"/>
          <w:szCs w:val="20"/>
          <w:color w:val="auto"/>
        </w:rPr>
      </w:pPr>
    </w:p>
    <w:p>
      <w:pPr>
        <w:jc w:val="both"/>
        <w:ind w:firstLine="1278"/>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6.2 </w:t>
      </w:r>
      <w:r>
        <w:rPr>
          <w:rFonts w:ascii="Times New Roman" w:cs="Times New Roman" w:eastAsia="Times New Roman" w:hAnsi="Times New Roman"/>
          <w:sz w:val="17"/>
          <w:szCs w:val="17"/>
          <w:b w:val="1"/>
          <w:bCs w:val="1"/>
          <w:u w:val="single" w:color="auto"/>
          <w:color w:val="auto"/>
        </w:rPr>
        <w:t>Charges And Compliance</w:t>
      </w:r>
      <w:r>
        <w:rPr>
          <w:rFonts w:ascii="Times New Roman" w:cs="Times New Roman" w:eastAsia="Times New Roman" w:hAnsi="Times New Roman"/>
          <w:sz w:val="17"/>
          <w:szCs w:val="17"/>
          <w:color w:val="auto"/>
        </w:rPr>
        <w:t>. Subtenant shall (a) promptly pay when due (and in any event not later than thirty (30) days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billing therefor) all monthly rent, taxes (if any), and other charges charged by the Master Landlord or the operator of the Parking Facilities, as the case may be, for all Building Parking Privileges subleased to Subtenant and (b) strictly comply (and cause each of its employees using such privileges to strictly</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comply) with all rules, regulations and requirements of Master Landlord and the operator of the Parking Facilities with respect to use of the Parking Facilities, parking spaces therein and other matters relating thereto.</w:t>
      </w:r>
    </w:p>
    <w:p>
      <w:pPr>
        <w:spacing w:after="0" w:line="152" w:lineRule="exact"/>
        <w:rPr>
          <w:sz w:val="20"/>
          <w:szCs w:val="20"/>
          <w:color w:val="auto"/>
        </w:rPr>
      </w:pPr>
    </w:p>
    <w:p>
      <w:pPr>
        <w:jc w:val="both"/>
        <w:ind w:firstLine="645"/>
        <w:spacing w:after="0" w:line="212" w:lineRule="auto"/>
        <w:tabs>
          <w:tab w:leader="none" w:pos="1278"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Subtenant Signage</w:t>
      </w:r>
      <w:r>
        <w:rPr>
          <w:rFonts w:ascii="Times New Roman" w:cs="Times New Roman" w:eastAsia="Times New Roman" w:hAnsi="Times New Roman"/>
          <w:sz w:val="18"/>
          <w:szCs w:val="18"/>
          <w:color w:val="auto"/>
        </w:rPr>
        <w:t>. Subtenant, shall not, without Sublandlord’s and Master Landlord’s prior written consent, have the right to any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identification visible from the entrance of the Premises. All signage of Subtenant, if any shall (i) be subject to the terms of the Master Lease, Sublandlord’s reasonable approval and Master Landlord’s approval as to design, materials, size and location, and (ii) be undertaken at Subtenant’s sole cost and expense, including, without limitation, all costs of installation, maintenance, repair, restoration and removal. Subtenant hereby agrees for the benefit of Sublandlord and Master Landlord (as an express intended third party beneficiary) that (a) other than as expressly and specifically agreed to in writing by Master Landlord, no act, consent, approval or omission of Master Landlord pursuant to this Section 7 shall (i) constitute any form of recognition of Subtenant as the direct tenant of Master Landlord, (ii) create any form of contractual duty or obligation on the part of Master Landlord in favor of Subtenant or (iii) waive, affect or prejudice in any way Master Landlord’s right to treat this Sublease and Subtenant’s rights to the Premises as being terminated upon any termination of the Master Lease, and (b) Master Landlord shall have the absolute right to evict Subtenant, and all parties holding under Subtenant, from the Premises upon any termination of the Master Lease.</w:t>
      </w:r>
    </w:p>
    <w:p>
      <w:pPr>
        <w:spacing w:after="0" w:line="168" w:lineRule="exact"/>
        <w:rPr>
          <w:rFonts w:ascii="Times New Roman" w:cs="Times New Roman" w:eastAsia="Times New Roman" w:hAnsi="Times New Roman"/>
          <w:sz w:val="16"/>
          <w:szCs w:val="16"/>
          <w:b w:val="1"/>
          <w:bCs w:val="1"/>
          <w:color w:val="auto"/>
        </w:rPr>
      </w:pPr>
    </w:p>
    <w:p>
      <w:pPr>
        <w:jc w:val="both"/>
        <w:ind w:firstLine="645"/>
        <w:spacing w:after="0" w:line="222" w:lineRule="auto"/>
        <w:tabs>
          <w:tab w:leader="none" w:pos="1278"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Broker Commissions</w:t>
      </w:r>
      <w:r>
        <w:rPr>
          <w:rFonts w:ascii="Times New Roman" w:cs="Times New Roman" w:eastAsia="Times New Roman" w:hAnsi="Times New Roman"/>
          <w:sz w:val="18"/>
          <w:szCs w:val="18"/>
          <w:color w:val="auto"/>
        </w:rPr>
        <w:t>. Subtenant warrants and represents that Subtenant has had no dealings with any brokers or agents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Premises or this Sublease and shall indemnify, defend and hold Sublandlord and Master Landlord free and harmless from and against any claim, loss, damage, liability, obligation, cost or expense, including attorneys’ fees suffered, incurred or asserted against Sublandlord or Master Landlord by any other broker or party relying in any way on any act by or relationship with Subtenant.</w:t>
      </w:r>
    </w:p>
    <w:p>
      <w:pPr>
        <w:spacing w:after="0" w:line="152" w:lineRule="exact"/>
        <w:rPr>
          <w:rFonts w:ascii="Times New Roman" w:cs="Times New Roman" w:eastAsia="Times New Roman" w:hAnsi="Times New Roman"/>
          <w:sz w:val="16"/>
          <w:szCs w:val="16"/>
          <w:b w:val="1"/>
          <w:bCs w:val="1"/>
          <w:color w:val="auto"/>
        </w:rPr>
      </w:pPr>
    </w:p>
    <w:p>
      <w:pPr>
        <w:jc w:val="both"/>
        <w:ind w:firstLine="645"/>
        <w:spacing w:after="0" w:line="217" w:lineRule="auto"/>
        <w:tabs>
          <w:tab w:leader="none" w:pos="1278"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Condition Of Premises</w:t>
      </w:r>
      <w:r>
        <w:rPr>
          <w:rFonts w:ascii="Times New Roman" w:cs="Times New Roman" w:eastAsia="Times New Roman" w:hAnsi="Times New Roman"/>
          <w:sz w:val="18"/>
          <w:szCs w:val="18"/>
          <w:color w:val="auto"/>
        </w:rPr>
        <w:t>. Subtenant has inspected the Premises and all improvements located therein, and has agreed to accept the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 “AS-IS”, “WHERE IS” condition, “WITH ALL FAULTS”, in its condition existing as of the date of this Sublease subject to all applicable municipal, county, state and federal laws, ordinances and regulations governing and regulating the use and occupancy of the Premises, and accepts the Sublease subject thereto and to all matters disclosed thereby, without warranty or representation, express or implied, concerning the same. Except as expressly set forth herein, under no circumstances shall Subtenant be entitled to any free rent period, construction allowance, tenant improvements or other work to the Premises, or any other such economic incentives in connection with the Master Lease or this Sublease.</w:t>
      </w:r>
    </w:p>
    <w:p>
      <w:pPr>
        <w:spacing w:after="0" w:line="155" w:lineRule="exact"/>
        <w:rPr>
          <w:rFonts w:ascii="Times New Roman" w:cs="Times New Roman" w:eastAsia="Times New Roman" w:hAnsi="Times New Roman"/>
          <w:sz w:val="16"/>
          <w:szCs w:val="16"/>
          <w:b w:val="1"/>
          <w:bCs w:val="1"/>
          <w:color w:val="auto"/>
        </w:rPr>
      </w:pPr>
    </w:p>
    <w:p>
      <w:pPr>
        <w:ind w:left="1280" w:hanging="635"/>
        <w:spacing w:after="0"/>
        <w:tabs>
          <w:tab w:leader="none" w:pos="1280"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Master Lease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10.1</w:t>
      </w:r>
      <w:r>
        <w:rPr>
          <w:sz w:val="20"/>
          <w:szCs w:val="20"/>
          <w:color w:val="auto"/>
        </w:rPr>
        <w:tab/>
      </w:r>
      <w:r>
        <w:rPr>
          <w:rFonts w:ascii="Times New Roman" w:cs="Times New Roman" w:eastAsia="Times New Roman" w:hAnsi="Times New Roman"/>
          <w:sz w:val="18"/>
          <w:szCs w:val="18"/>
          <w:b w:val="1"/>
          <w:bCs w:val="1"/>
          <w:u w:val="single" w:color="auto"/>
          <w:color w:val="auto"/>
        </w:rPr>
        <w:t>Compliance With The Master Lease</w:t>
      </w:r>
      <w:r>
        <w:rPr>
          <w:rFonts w:ascii="Times New Roman" w:cs="Times New Roman" w:eastAsia="Times New Roman" w:hAnsi="Times New Roman"/>
          <w:sz w:val="18"/>
          <w:szCs w:val="18"/>
          <w:color w:val="auto"/>
        </w:rPr>
        <w:t>. Except as otherwise expressly provided herein, during the Term and for all subsequent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periods with respect to obligations arising prior to the termination of this Sublease, Subtenant shall comply with and perform, for the benefit of Master Landlord and Sublandlord, all of the terms, covenants, conditions and obligations of the “Tenant” under the Master Lease allocable or applicable to the Premises. Except as otherwise expressly provided hereunder, or as the context of this Sublease directly indicates otherwise, all of the obligations imposed on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“Tenant” under the Master Lease with respect to the Premises are hereby imposed on Subtenant and all of the rights granted to the “Landlord” under the Master Lease with respect to the Premises are hereby granted hereunder to Sublandlord. Subtenant acknowledges that it has read the attached copy of the Master Lease and agrees that this Sublease is in all respects subject and subordinate to any mortgage, deed, deed of trust, ground lease or other instrument now or hereafter encumbering the Building or the land on which it is located, to the terms and conditions of the Master Lease and to the matters to which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Lease, including any amendments thereto, is or shall be subordinate. Notwithstanding the foregoing:</w:t>
      </w:r>
    </w:p>
    <w:p>
      <w:pPr>
        <w:spacing w:after="0" w:line="159" w:lineRule="exact"/>
        <w:rPr>
          <w:sz w:val="20"/>
          <w:szCs w:val="20"/>
          <w:color w:val="auto"/>
        </w:rPr>
      </w:pPr>
    </w:p>
    <w:p>
      <w:pPr>
        <w:jc w:val="both"/>
        <w:ind w:firstLine="1917"/>
        <w:spacing w:after="0" w:line="232" w:lineRule="auto"/>
        <w:rPr>
          <w:sz w:val="20"/>
          <w:szCs w:val="20"/>
          <w:color w:val="auto"/>
        </w:rPr>
      </w:pPr>
      <w:r>
        <w:rPr>
          <w:rFonts w:ascii="Times New Roman" w:cs="Times New Roman" w:eastAsia="Times New Roman" w:hAnsi="Times New Roman"/>
          <w:sz w:val="16"/>
          <w:szCs w:val="16"/>
          <w:b w:val="1"/>
          <w:bCs w:val="1"/>
          <w:color w:val="auto"/>
        </w:rPr>
        <w:t xml:space="preserve">10.1.1 </w:t>
      </w:r>
      <w:r>
        <w:rPr>
          <w:rFonts w:ascii="Times New Roman" w:cs="Times New Roman" w:eastAsia="Times New Roman" w:hAnsi="Times New Roman"/>
          <w:sz w:val="17"/>
          <w:szCs w:val="17"/>
          <w:color w:val="auto"/>
        </w:rPr>
        <w:t>Sublandlord agrees that Subtenant shall be entitled to receive all services, utilities, repairs and restorations to be 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by Master Landlord to Sublandlord under the Master Lease with respect to the Premises. Sublandlord shall have no duty to perform any obligations of Master</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Landlord which are, by their nature, the obligation of an owner or manager of real property. For example, Sublandlord shall not be required to provide the services or repairs which the Master Landlord is required to provide under the Master Lease. The parties contemplate that Master Landlord will perform its obligations under the Master Lease and in the event of any default or failure of such performance by Master Landlord, Sublandlord agrees that it will, upon</w:t>
      </w:r>
    </w:p>
    <w:p>
      <w:pPr>
        <w:spacing w:after="0" w:line="2"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8"/>
          <w:szCs w:val="18"/>
          <w:color w:val="auto"/>
        </w:rPr>
        <w:t>notice from Subtenant, make demand upon Master Landlord to perform its obligations under the Master Lease and take appropriate action to enforce the Master Lease. Sublandlord agrees that if under the Master Lease any right or</w:t>
      </w:r>
    </w:p>
    <w:p>
      <w:pPr>
        <w:sectPr>
          <w:pgSz w:w="11900" w:h="16838" w:orient="portrait"/>
          <w:cols w:equalWidth="0" w:num="1">
            <w:col w:w="11240"/>
          </w:cols>
          <w:pgMar w:left="320" w:top="1386" w:right="339" w:bottom="1440" w:gutter="0" w:footer="0" w:header="0"/>
        </w:sectPr>
      </w:pPr>
    </w:p>
    <w:bookmarkStart w:id="180" w:name="page181"/>
    <w:bookmarkEnd w:id="180"/>
    <w:p>
      <w:pPr>
        <w:jc w:val="both"/>
        <w:spacing w:after="0" w:line="232" w:lineRule="auto"/>
        <w:rPr>
          <w:sz w:val="20"/>
          <w:szCs w:val="20"/>
          <w:color w:val="auto"/>
        </w:rPr>
      </w:pPr>
      <w:r>
        <w:rPr>
          <w:rFonts w:ascii="Times New Roman" w:cs="Times New Roman" w:eastAsia="Times New Roman" w:hAnsi="Times New Roman"/>
          <w:sz w:val="17"/>
          <w:szCs w:val="17"/>
          <w:color w:val="auto"/>
        </w:rPr>
        <w:t>remedy of Sublandlord or any duty or obligation of Master Landlord is subject to or conditioned upon Sublandlord making any demand upon Master Landlord or giving any notice or request to Master Landlord then, if Subtenant shall so request, Sublandlord, at Subtenant’s expense, shall make such demand</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or give such notice or request on Sublandlord’s behalf, except that Sublandlord shall not be required to do so with respect to any act or thing as to which Sublandlord shall have determined in accordance with this Sublease to withhold its consent or approval.</w:t>
      </w:r>
    </w:p>
    <w:p>
      <w:pPr>
        <w:spacing w:after="0" w:line="154" w:lineRule="exact"/>
        <w:rPr>
          <w:sz w:val="20"/>
          <w:szCs w:val="20"/>
          <w:color w:val="auto"/>
        </w:rPr>
      </w:pPr>
    </w:p>
    <w:p>
      <w:pPr>
        <w:ind w:left="192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10.1.2</w:t>
      </w:r>
      <w:r>
        <w:rPr>
          <w:sz w:val="20"/>
          <w:szCs w:val="20"/>
          <w:color w:val="auto"/>
        </w:rPr>
        <w:tab/>
      </w:r>
      <w:r>
        <w:rPr>
          <w:rFonts w:ascii="Times New Roman" w:cs="Times New Roman" w:eastAsia="Times New Roman" w:hAnsi="Times New Roman"/>
          <w:sz w:val="18"/>
          <w:szCs w:val="18"/>
          <w:color w:val="auto"/>
        </w:rPr>
        <w:t>Whenever any provision of the Master Lease specifies a time period in connection with the performance of any liability</w:t>
      </w:r>
    </w:p>
    <w:p>
      <w:pPr>
        <w:jc w:val="both"/>
        <w:spacing w:after="0" w:line="205" w:lineRule="auto"/>
        <w:rPr>
          <w:sz w:val="20"/>
          <w:szCs w:val="20"/>
          <w:color w:val="auto"/>
        </w:rPr>
      </w:pPr>
      <w:r>
        <w:rPr>
          <w:rFonts w:ascii="Times New Roman" w:cs="Times New Roman" w:eastAsia="Times New Roman" w:hAnsi="Times New Roman"/>
          <w:sz w:val="18"/>
          <w:szCs w:val="18"/>
          <w:color w:val="auto"/>
        </w:rPr>
        <w:t>or obligation by Subtenant or any notice period or other time condition to the exercise of any right or remedy by Sublandlord hereunder, such time period shall be shortened in each instance by three (3) business days for the purposes of incorporation into this Sublease; provided, however, in no event shall Subtenant have less than three (3) business days with which to cure any monetary defaults. Any default notice or other notice of any obligations (including</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any billing or invoice for any rent or any other expense or charge due under the Master Lease) from Master Landlord which is received by Subtenant (whether directly or as a result of being forwarded by Sublandlord) shall constitute such notice from Sublandlord to Subtenant under this Sublease without the need for any additional notice from Sublandlord.</w:t>
      </w:r>
    </w:p>
    <w:p>
      <w:pPr>
        <w:spacing w:after="0" w:line="169" w:lineRule="exact"/>
        <w:rPr>
          <w:sz w:val="20"/>
          <w:szCs w:val="20"/>
          <w:color w:val="auto"/>
        </w:rPr>
      </w:pPr>
    </w:p>
    <w:p>
      <w:pPr>
        <w:jc w:val="both"/>
        <w:ind w:firstLine="1917"/>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10.1.3 </w:t>
      </w:r>
      <w:r>
        <w:rPr>
          <w:rFonts w:ascii="Times New Roman" w:cs="Times New Roman" w:eastAsia="Times New Roman" w:hAnsi="Times New Roman"/>
          <w:sz w:val="17"/>
          <w:szCs w:val="17"/>
          <w:color w:val="auto"/>
        </w:rPr>
        <w:t>Subtenant shall not do, permit or suffer any act, occurrence or omission which if done, permitted or suffered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Sublandlord would be (with notice, the passage of time or both) in violation of or a default by the “Tenant” under the Master Lease, or could lead in any respect to the termination of the Master Lease. If Subtenant shall default in the performance of any of its obligations under this Sublease, other than its</w:t>
      </w:r>
    </w:p>
    <w:p>
      <w:pPr>
        <w:jc w:val="both"/>
        <w:spacing w:after="0" w:line="217" w:lineRule="auto"/>
        <w:rPr>
          <w:sz w:val="20"/>
          <w:szCs w:val="20"/>
          <w:color w:val="auto"/>
        </w:rPr>
      </w:pPr>
      <w:r>
        <w:rPr>
          <w:rFonts w:ascii="Times New Roman" w:cs="Times New Roman" w:eastAsia="Times New Roman" w:hAnsi="Times New Roman"/>
          <w:sz w:val="17"/>
          <w:szCs w:val="17"/>
          <w:color w:val="auto"/>
        </w:rPr>
        <w:t>obligation to pay rent to Sublandlord, Sublandlord, without being under any obligation to do so and without thereby waiving such default, may remedy such default for the account and at the expense of Subtenant, without notice in a case of emergency and, in all other cases, if the default continues after three (3) days from the date of written notice thereof from Sublandlord. For avoidance of doubt, Subtenant’s failure to pay Rent as and when due under this Sublease</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shall be a default which shall entitle Sublandlord to all remedies available to (i) Sublandlord at law, at equity, or pursuant to this Sublease, and (ii) to Master Landlord under the Master Lease.</w:t>
      </w:r>
    </w:p>
    <w:p>
      <w:pPr>
        <w:spacing w:after="0" w:line="154" w:lineRule="exact"/>
        <w:rPr>
          <w:sz w:val="20"/>
          <w:szCs w:val="20"/>
          <w:color w:val="auto"/>
        </w:rPr>
      </w:pPr>
    </w:p>
    <w:p>
      <w:pPr>
        <w:ind w:left="192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10.1.4</w:t>
      </w:r>
      <w:r>
        <w:rPr>
          <w:sz w:val="20"/>
          <w:szCs w:val="20"/>
          <w:color w:val="auto"/>
        </w:rPr>
        <w:tab/>
      </w:r>
      <w:r>
        <w:rPr>
          <w:rFonts w:ascii="Times New Roman" w:cs="Times New Roman" w:eastAsia="Times New Roman" w:hAnsi="Times New Roman"/>
          <w:sz w:val="17"/>
          <w:szCs w:val="17"/>
          <w:color w:val="auto"/>
        </w:rPr>
        <w:t>Sublandlord covenants and agrees that Sublandlord: (i) shall cause all rent to be paid under the Master Lease as and when</w:t>
      </w:r>
    </w:p>
    <w:p>
      <w:pPr>
        <w:spacing w:after="0" w:line="1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due and payable under the Master Lease, except to the extent Subtenant has failed to timely pay rent under this Sublease to Sublandlord; (ii) shall observe and perform the other terms, provisions, covenants and conditions of the Master Lease to be observed and performed by Sublandlord, except and to the extent that such terms, provisions, covenants and conditions are assumed by Subtenant hereunder and except to the extent Subtenant’s actions or inactions are not the</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cause of Sublandlord’s failure to so comply; (iii) shall not voluntarily terminate the Master Lease except pursuant to a right of termination arising out of casualty or condemnation expressly set forth in the Master Lease and shall not amend the Master Lease in a manner adverse to Subtenant in any material respect; (iv) shall not take any action or fail to perform any act that results in a breach or default under the Master Lease to the extent any such failure to</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perform such act (A) is not the result of any action or inaction by Subtenant, and (B) adversely affects the rights of Subtenant under this Sublease, including, without limitation, the right of Subtenant to receive all services, utilities, repairs and restorations to be provided by Master Landlord to Sublandlord under the Master Lease with respect to the Premises or the ability of Subtenant to seek or obtain the approval or consent of Master Landlord or the right of Subtenant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and occupy the Subleased Premises for the purposes set forth in this Sublease.</w:t>
      </w:r>
    </w:p>
    <w:p>
      <w:pPr>
        <w:spacing w:after="0" w:line="157" w:lineRule="exact"/>
        <w:rPr>
          <w:sz w:val="20"/>
          <w:szCs w:val="20"/>
          <w:color w:val="auto"/>
        </w:rPr>
      </w:pPr>
    </w:p>
    <w:p>
      <w:pPr>
        <w:jc w:val="both"/>
        <w:ind w:firstLine="1278"/>
        <w:spacing w:after="0" w:line="234" w:lineRule="auto"/>
        <w:rPr>
          <w:sz w:val="20"/>
          <w:szCs w:val="20"/>
          <w:color w:val="auto"/>
        </w:rPr>
      </w:pPr>
      <w:r>
        <w:rPr>
          <w:rFonts w:ascii="Times New Roman" w:cs="Times New Roman" w:eastAsia="Times New Roman" w:hAnsi="Times New Roman"/>
          <w:sz w:val="16"/>
          <w:szCs w:val="16"/>
          <w:b w:val="1"/>
          <w:bCs w:val="1"/>
          <w:color w:val="auto"/>
        </w:rPr>
        <w:t xml:space="preserve">10.2 </w:t>
      </w:r>
      <w:r>
        <w:rPr>
          <w:rFonts w:ascii="Times New Roman" w:cs="Times New Roman" w:eastAsia="Times New Roman" w:hAnsi="Times New Roman"/>
          <w:sz w:val="17"/>
          <w:szCs w:val="17"/>
          <w:b w:val="1"/>
          <w:bCs w:val="1"/>
          <w:u w:val="single" w:color="auto"/>
          <w:color w:val="auto"/>
        </w:rPr>
        <w:t>Incorporation By Reference</w:t>
      </w:r>
      <w:r>
        <w:rPr>
          <w:rFonts w:ascii="Times New Roman" w:cs="Times New Roman" w:eastAsia="Times New Roman" w:hAnsi="Times New Roman"/>
          <w:sz w:val="17"/>
          <w:szCs w:val="17"/>
          <w:color w:val="auto"/>
        </w:rPr>
        <w:t>. Except to the extent such terms and provisions are inconsistent with or are specifically contrary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the express written provisions of this Sublease and except as provided in this Section 10.2, all of the terms, covenants and conditions of the Master Lease are</w:t>
      </w:r>
    </w:p>
    <w:p>
      <w:pPr>
        <w:jc w:val="both"/>
        <w:spacing w:after="0" w:line="204" w:lineRule="auto"/>
        <w:rPr>
          <w:sz w:val="20"/>
          <w:szCs w:val="20"/>
          <w:color w:val="auto"/>
        </w:rPr>
      </w:pPr>
      <w:r>
        <w:rPr>
          <w:rFonts w:ascii="Times New Roman" w:cs="Times New Roman" w:eastAsia="Times New Roman" w:hAnsi="Times New Roman"/>
          <w:sz w:val="18"/>
          <w:szCs w:val="18"/>
          <w:color w:val="auto"/>
        </w:rPr>
        <w:t>by this reference incorporated herein and made a part of this Sublease with the same force and effect as if fully set forth herein, provided, however, that for purposes of such incorporation, (i) the term “Lease” as used in the Master Lease shall refer to this Sublease; (ii) the term “Landlord” (and other defined terms containing the term “Landlord” or any derivative thereof) as used in the Master Lease, and subject to the limitations of Sublandlord’s responsibilities to Subtenant under the Master Lease set forth in Section 10.1 of this Sublease, shall refer to Sublandlord; (iii) the term “Tenant” (and other defined terms</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containing the term “Tenant” or any derivative thereof) as used in the Master Lease shall refer to Subtenant; (iv) the terms “Term” as used in the Master Lease shall refer to the Term defined herein; (v) the term “Expiration Date” as used in the Master Lease shall mean the Expiration Date of this Sublease; (vi) the term “Premises,” as used in the Master Lease shall refer to the Premises; and (vii) the term “Base Rent” and as used in the Master Lease shall refer to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Base Rent due under this Sublease. In the event of any inconsistency between the provisions set forth in this Sublease and the provisions of the Master Lease, as incorporated herein, the provisions of this Sublease shall control as between Sublandlord and Subtenant. Notwithstanding any provision of this Sublease to the contrary, no portion of the following provisions of the Master Lease shall be incorporated into this Sublease:</w:t>
      </w:r>
    </w:p>
    <w:p>
      <w:pPr>
        <w:spacing w:after="0" w:line="182" w:lineRule="exact"/>
        <w:rPr>
          <w:sz w:val="20"/>
          <w:szCs w:val="20"/>
          <w:color w:val="auto"/>
        </w:rPr>
      </w:pPr>
    </w:p>
    <w:p>
      <w:pPr>
        <w:ind w:left="640" w:firstLine="639"/>
        <w:spacing w:after="0" w:line="276" w:lineRule="auto"/>
        <w:rPr>
          <w:sz w:val="20"/>
          <w:szCs w:val="20"/>
          <w:color w:val="auto"/>
        </w:rPr>
      </w:pPr>
      <w:r>
        <w:rPr>
          <w:rFonts w:ascii="Times New Roman" w:cs="Times New Roman" w:eastAsia="Times New Roman" w:hAnsi="Times New Roman"/>
          <w:sz w:val="18"/>
          <w:szCs w:val="18"/>
          <w:color w:val="auto"/>
        </w:rPr>
        <w:t>Definitions of “Tenant’s Proportionate Share”, “First Month’s Base Rent Payable Upon Execution”, “Letter of Credit Amount”, “Base Year for Operating Expenses”, “Base Year for Real Estate</w:t>
      </w:r>
    </w:p>
    <w:p>
      <w:pPr>
        <w:sectPr>
          <w:pgSz w:w="11900" w:h="16838" w:orient="portrait"/>
          <w:cols w:equalWidth="0" w:num="1">
            <w:col w:w="11240"/>
          </w:cols>
          <w:pgMar w:left="320" w:top="1386" w:right="339" w:bottom="1440" w:gutter="0" w:footer="0" w:header="0"/>
        </w:sectPr>
      </w:pPr>
    </w:p>
    <w:bookmarkStart w:id="181" w:name="page182"/>
    <w:bookmarkEnd w:id="181"/>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Taxes”, “Rent Commencement Date”, “Scheduled Commencement Date”, “Brokers”, and “Landlord’s Contribution”, Section 1(c), the second sentence of Section 2(b), the second sentence of Section 2(d), Section 3, any reference to “Demolition Work” in Section 4(a), Sections 4(d), 4(e), 8(d), 17, 19(k), 19(y), 19(d)(d), 20, 21; and Exhibits E, F, G, and I, all within the Original Lease.</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All provisions of the Second Amendment except for Section 6.</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entire Third Amendment.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entire Fourth Amendment.</w:t>
      </w:r>
    </w:p>
    <w:p>
      <w:pPr>
        <w:spacing w:after="0" w:line="204"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10.3</w:t>
      </w:r>
      <w:r>
        <w:rPr>
          <w:sz w:val="20"/>
          <w:szCs w:val="20"/>
          <w:color w:val="auto"/>
        </w:rPr>
        <w:tab/>
      </w:r>
      <w:r>
        <w:rPr>
          <w:rFonts w:ascii="Times New Roman" w:cs="Times New Roman" w:eastAsia="Times New Roman" w:hAnsi="Times New Roman"/>
          <w:sz w:val="17"/>
          <w:szCs w:val="17"/>
          <w:b w:val="1"/>
          <w:bCs w:val="1"/>
          <w:u w:val="single" w:color="auto"/>
          <w:color w:val="auto"/>
        </w:rPr>
        <w:t>Default And/Or Termination Of Master Lease</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192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10.3.1</w:t>
      </w:r>
      <w:r>
        <w:rPr>
          <w:sz w:val="20"/>
          <w:szCs w:val="20"/>
          <w:color w:val="auto"/>
        </w:rPr>
        <w:tab/>
      </w:r>
      <w:r>
        <w:rPr>
          <w:rFonts w:ascii="Times New Roman" w:cs="Times New Roman" w:eastAsia="Times New Roman" w:hAnsi="Times New Roman"/>
          <w:sz w:val="18"/>
          <w:szCs w:val="18"/>
          <w:color w:val="auto"/>
        </w:rPr>
        <w:t>In the event of a default by Sublandlord as tenant under the Master Lease resulting in termination, reentry or</w:t>
      </w:r>
    </w:p>
    <w:p>
      <w:pPr>
        <w:jc w:val="both"/>
        <w:spacing w:after="0" w:line="217" w:lineRule="auto"/>
        <w:rPr>
          <w:sz w:val="20"/>
          <w:szCs w:val="20"/>
          <w:color w:val="auto"/>
        </w:rPr>
      </w:pPr>
      <w:r>
        <w:rPr>
          <w:rFonts w:ascii="Times New Roman" w:cs="Times New Roman" w:eastAsia="Times New Roman" w:hAnsi="Times New Roman"/>
          <w:sz w:val="17"/>
          <w:szCs w:val="17"/>
          <w:color w:val="auto"/>
        </w:rPr>
        <w:t>dispossession thereunder, within thirty (30) days after such termination, reentry or dispossession, Master Landlord may, at its election, which election shall be made in its sole and absolute discretion, notify Subtenant that Master Landlord has taken over all of the right, title and interest of Sublandlord under this Sublease, and Subtenant shall thereupon, at the request of the Master Landlord, attorn to and recognize Master Landlord as Sublandlord under the terms and</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conditions of this Sublease. If Master Landlord notifies Subtenant that Master Landlord has elected not to take over the Sublease, or Master Landlord fails to provide any notice to Subtenant within the aforesaid thirty (30) day period, then the Sublease shall terminate as of the date of expiration of such thirty (30) day period, at which time Subtenant shall vacate the Premises in accordance with the terms hereof.</w:t>
      </w:r>
    </w:p>
    <w:p>
      <w:pPr>
        <w:spacing w:after="0" w:line="169" w:lineRule="exact"/>
        <w:rPr>
          <w:sz w:val="20"/>
          <w:szCs w:val="20"/>
          <w:color w:val="auto"/>
        </w:rPr>
      </w:pPr>
    </w:p>
    <w:p>
      <w:pPr>
        <w:jc w:val="both"/>
        <w:ind w:firstLine="1917"/>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10.3.2 </w:t>
      </w:r>
      <w:r>
        <w:rPr>
          <w:rFonts w:ascii="Times New Roman" w:cs="Times New Roman" w:eastAsia="Times New Roman" w:hAnsi="Times New Roman"/>
          <w:sz w:val="17"/>
          <w:szCs w:val="17"/>
          <w:color w:val="auto"/>
        </w:rPr>
        <w:t>If Master Landlord elects to take over the right, title and interest of Sublandlord in accordance with the foregoing, it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understood and agreed that Master Landlord shall not (i) be liable for any previous act or omission of Sublandlord under this Sublease, (ii) be subject to any offset which theretofore accrued to Subtenant against Sublandlord, and (iii) be bound by any previous modification of this Sublease to which it has not</w:t>
      </w:r>
    </w:p>
    <w:p>
      <w:pPr>
        <w:jc w:val="both"/>
        <w:spacing w:after="0" w:line="217" w:lineRule="auto"/>
        <w:rPr>
          <w:sz w:val="20"/>
          <w:szCs w:val="20"/>
          <w:color w:val="auto"/>
        </w:rPr>
      </w:pPr>
      <w:r>
        <w:rPr>
          <w:rFonts w:ascii="Times New Roman" w:cs="Times New Roman" w:eastAsia="Times New Roman" w:hAnsi="Times New Roman"/>
          <w:sz w:val="17"/>
          <w:szCs w:val="17"/>
          <w:color w:val="auto"/>
        </w:rPr>
        <w:t>consented, or by any previous prepayment of more than one month’s rent except to the extent received by Master Landlord. In such event, Subtenant shall also, promptly upon Master Landlord’s request, execute and deliver all instruments reasonably necessary or appropriate to confirm such attornment and recognition. Subtenant hereby waives all rights under any present or future law to elect, by reason of the termination of the Lease, to terminate this Sublease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surrender possession of the Premises.</w:t>
      </w:r>
    </w:p>
    <w:p>
      <w:pPr>
        <w:spacing w:after="0" w:line="159" w:lineRule="exact"/>
        <w:rPr>
          <w:sz w:val="20"/>
          <w:szCs w:val="20"/>
          <w:color w:val="auto"/>
        </w:rPr>
      </w:pPr>
    </w:p>
    <w:p>
      <w:pPr>
        <w:jc w:val="both"/>
        <w:ind w:firstLine="1917"/>
        <w:spacing w:after="0" w:line="232" w:lineRule="auto"/>
        <w:rPr>
          <w:sz w:val="20"/>
          <w:szCs w:val="20"/>
          <w:color w:val="auto"/>
        </w:rPr>
      </w:pPr>
      <w:r>
        <w:rPr>
          <w:rFonts w:ascii="Times New Roman" w:cs="Times New Roman" w:eastAsia="Times New Roman" w:hAnsi="Times New Roman"/>
          <w:sz w:val="16"/>
          <w:szCs w:val="16"/>
          <w:b w:val="1"/>
          <w:bCs w:val="1"/>
          <w:color w:val="auto"/>
        </w:rPr>
        <w:t xml:space="preserve">10.3.3 </w:t>
      </w:r>
      <w:r>
        <w:rPr>
          <w:rFonts w:ascii="Times New Roman" w:cs="Times New Roman" w:eastAsia="Times New Roman" w:hAnsi="Times New Roman"/>
          <w:sz w:val="17"/>
          <w:szCs w:val="17"/>
          <w:color w:val="auto"/>
        </w:rPr>
        <w:t>From and after the date of any default by Sublandlord resulting in a termination, reentry or dispossession under the Lease,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until the date that this Sublease is terminated in accordance with this Section 10.3, Subtenant shall pay all Basic Rent and Additional Rent due under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directly to Master Landlord and Subtenant shall continue to perform all of its obligations hereunder.</w:t>
      </w:r>
    </w:p>
    <w:p>
      <w:pPr>
        <w:spacing w:after="0" w:line="159" w:lineRule="exact"/>
        <w:rPr>
          <w:sz w:val="20"/>
          <w:szCs w:val="20"/>
          <w:color w:val="auto"/>
        </w:rPr>
      </w:pPr>
    </w:p>
    <w:p>
      <w:pPr>
        <w:jc w:val="both"/>
        <w:ind w:firstLine="1917"/>
        <w:spacing w:after="0" w:line="232" w:lineRule="auto"/>
        <w:rPr>
          <w:sz w:val="20"/>
          <w:szCs w:val="20"/>
          <w:color w:val="auto"/>
        </w:rPr>
      </w:pPr>
      <w:r>
        <w:rPr>
          <w:rFonts w:ascii="Times New Roman" w:cs="Times New Roman" w:eastAsia="Times New Roman" w:hAnsi="Times New Roman"/>
          <w:sz w:val="16"/>
          <w:szCs w:val="16"/>
          <w:b w:val="1"/>
          <w:bCs w:val="1"/>
          <w:color w:val="auto"/>
        </w:rPr>
        <w:t xml:space="preserve">10.3.4 </w:t>
      </w:r>
      <w:r>
        <w:rPr>
          <w:rFonts w:ascii="Times New Roman" w:cs="Times New Roman" w:eastAsia="Times New Roman" w:hAnsi="Times New Roman"/>
          <w:sz w:val="17"/>
          <w:szCs w:val="17"/>
          <w:color w:val="auto"/>
        </w:rPr>
        <w:t>Except as otherwise provided in Section 10.3.1 above, if for any reason the term of the Master Lease is terminated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to the Expiration Date of this Sublease, this Sublease shall thereupon terminate and Sublandlord shall not be liable to Subtenant by reason thereof for</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damages or otherwise, except that Sublandlord shall return to Subtenant that portion of any rent paid in advance by Subtenant, if any, which is applicable to the period following the date of such termination.</w:t>
      </w:r>
    </w:p>
    <w:p>
      <w:pPr>
        <w:spacing w:after="0" w:line="154" w:lineRule="exact"/>
        <w:rPr>
          <w:sz w:val="20"/>
          <w:szCs w:val="20"/>
          <w:color w:val="auto"/>
        </w:rPr>
      </w:pPr>
    </w:p>
    <w:p>
      <w:pPr>
        <w:ind w:left="192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10.3.5</w:t>
      </w:r>
      <w:r>
        <w:rPr>
          <w:sz w:val="20"/>
          <w:szCs w:val="20"/>
          <w:color w:val="auto"/>
        </w:rPr>
        <w:tab/>
      </w:r>
      <w:r>
        <w:rPr>
          <w:rFonts w:ascii="Times New Roman" w:cs="Times New Roman" w:eastAsia="Times New Roman" w:hAnsi="Times New Roman"/>
          <w:sz w:val="17"/>
          <w:szCs w:val="17"/>
          <w:color w:val="auto"/>
        </w:rPr>
        <w:t>Sublandlord represents and warrants to Subtenant that:</w:t>
      </w:r>
    </w:p>
    <w:p>
      <w:pPr>
        <w:spacing w:after="0" w:line="204" w:lineRule="exact"/>
        <w:rPr>
          <w:sz w:val="20"/>
          <w:szCs w:val="20"/>
          <w:color w:val="auto"/>
        </w:rPr>
      </w:pPr>
    </w:p>
    <w:p>
      <w:pPr>
        <w:jc w:val="both"/>
        <w:ind w:firstLine="2818"/>
        <w:spacing w:after="0" w:line="223" w:lineRule="auto"/>
        <w:tabs>
          <w:tab w:leader="none" w:pos="3184"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Sublandlord has not received any written notice of default under the Master Lease, except for any defaults that Sublandlord has cured and Master Landlord is no longer claiming to exist, and to the actual knowledge, without any investigation, of Sublandlord, Sublandlord is not in default of any of Sublandlord’s obligations under the Master Lease;</w:t>
      </w:r>
    </w:p>
    <w:p>
      <w:pPr>
        <w:spacing w:after="0" w:line="168" w:lineRule="exact"/>
        <w:rPr>
          <w:rFonts w:ascii="Times New Roman" w:cs="Times New Roman" w:eastAsia="Times New Roman" w:hAnsi="Times New Roman"/>
          <w:sz w:val="16"/>
          <w:szCs w:val="16"/>
          <w:b w:val="1"/>
          <w:bCs w:val="1"/>
          <w:color w:val="auto"/>
        </w:rPr>
      </w:pPr>
    </w:p>
    <w:p>
      <w:pPr>
        <w:jc w:val="both"/>
        <w:ind w:firstLine="2818"/>
        <w:spacing w:after="0" w:line="223" w:lineRule="auto"/>
        <w:tabs>
          <w:tab w:leader="none" w:pos="3193"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Sublandlord has not sent to Master Landlord any written notice stating that Master Landlord is in default of any of Master Landlord’s obligations under the Master Lease and to the actual knowledge, without any investigation, of Sublandlord, Master Landlord is not in default of any of Master Landlord’s obligations under the Master Lease;</w:t>
      </w:r>
    </w:p>
    <w:p>
      <w:pPr>
        <w:spacing w:after="0" w:line="168" w:lineRule="exact"/>
        <w:rPr>
          <w:rFonts w:ascii="Times New Roman" w:cs="Times New Roman" w:eastAsia="Times New Roman" w:hAnsi="Times New Roman"/>
          <w:sz w:val="16"/>
          <w:szCs w:val="16"/>
          <w:b w:val="1"/>
          <w:bCs w:val="1"/>
          <w:color w:val="auto"/>
        </w:rPr>
      </w:pPr>
    </w:p>
    <w:p>
      <w:pPr>
        <w:ind w:firstLine="2818"/>
        <w:spacing w:after="0" w:line="234" w:lineRule="auto"/>
        <w:tabs>
          <w:tab w:leader="none" w:pos="3188"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Sublandlord has not received any written notice that any work is required under the Master Lease or by applicable law to be done in the Premises; and</w:t>
      </w:r>
    </w:p>
    <w:p>
      <w:pPr>
        <w:sectPr>
          <w:pgSz w:w="11900" w:h="16838" w:orient="portrait"/>
          <w:cols w:equalWidth="0" w:num="1">
            <w:col w:w="11240"/>
          </w:cols>
          <w:pgMar w:left="320" w:top="1399" w:right="339" w:bottom="1440" w:gutter="0" w:footer="0" w:header="0"/>
        </w:sectPr>
      </w:pPr>
    </w:p>
    <w:bookmarkStart w:id="182" w:name="page183"/>
    <w:bookmarkEnd w:id="182"/>
    <w:p>
      <w:pPr>
        <w:ind w:left="3200" w:hanging="382"/>
        <w:spacing w:after="0"/>
        <w:tabs>
          <w:tab w:leader="none" w:pos="3200" w:val="left"/>
        </w:tabs>
        <w:numPr>
          <w:ilvl w:val="0"/>
          <w:numId w:val="1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7"/>
          <w:szCs w:val="17"/>
          <w:color w:val="auto"/>
        </w:rPr>
        <w:t>Sublandlord has not received any written notice of violation of any laws, ordinances, codes, rules, regulations or</w:t>
      </w:r>
    </w:p>
    <w:p>
      <w:pPr>
        <w:spacing w:after="0"/>
        <w:rPr>
          <w:sz w:val="20"/>
          <w:szCs w:val="20"/>
          <w:color w:val="auto"/>
        </w:rPr>
      </w:pPr>
      <w:r>
        <w:rPr>
          <w:rFonts w:ascii="Times New Roman" w:cs="Times New Roman" w:eastAsia="Times New Roman" w:hAnsi="Times New Roman"/>
          <w:sz w:val="18"/>
          <w:szCs w:val="18"/>
          <w:color w:val="auto"/>
        </w:rPr>
        <w:t>requirements affecting the Premises.</w:t>
      </w:r>
    </w:p>
    <w:p>
      <w:pPr>
        <w:spacing w:after="0" w:line="170" w:lineRule="exact"/>
        <w:rPr>
          <w:sz w:val="20"/>
          <w:szCs w:val="20"/>
          <w:color w:val="auto"/>
        </w:rPr>
      </w:pPr>
    </w:p>
    <w:p>
      <w:pPr>
        <w:ind w:left="1280" w:hanging="635"/>
        <w:spacing w:after="0"/>
        <w:tabs>
          <w:tab w:leader="none" w:pos="1280"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Additional Provisions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127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11.1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In the event that Sublandlord or Subtenant shall receive any notice from Master Landlord for any reason pertaining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Premises, then, within three (3) days from the date of such receipt, such party shall send a copy of such notice to the other party.</w:t>
      </w:r>
    </w:p>
    <w:p>
      <w:pPr>
        <w:spacing w:after="0" w:line="166" w:lineRule="exact"/>
        <w:rPr>
          <w:sz w:val="20"/>
          <w:szCs w:val="20"/>
          <w:color w:val="auto"/>
        </w:rPr>
      </w:pPr>
    </w:p>
    <w:p>
      <w:pPr>
        <w:ind w:firstLine="1278"/>
        <w:spacing w:after="0" w:line="276" w:lineRule="auto"/>
        <w:rPr>
          <w:sz w:val="20"/>
          <w:szCs w:val="20"/>
          <w:color w:val="auto"/>
        </w:rPr>
      </w:pPr>
      <w:r>
        <w:rPr>
          <w:rFonts w:ascii="Times New Roman" w:cs="Times New Roman" w:eastAsia="Times New Roman" w:hAnsi="Times New Roman"/>
          <w:sz w:val="18"/>
          <w:szCs w:val="18"/>
          <w:color w:val="auto"/>
        </w:rPr>
        <w:t>The provisions of the Master Lease regarding the giving of notices are hereby amended to add after the name “Tenant” the word “Sublandlord”, and to insert the following:</w:t>
      </w:r>
    </w:p>
    <w:p>
      <w:pPr>
        <w:sectPr>
          <w:pgSz w:w="11900" w:h="16838" w:orient="portrait"/>
          <w:cols w:equalWidth="0" w:num="1">
            <w:col w:w="11240"/>
          </w:cols>
          <w:pgMar w:left="320" w:top="1383" w:right="339" w:bottom="1440" w:gutter="0" w:footer="0" w:header="0"/>
        </w:sectPr>
      </w:pPr>
    </w:p>
    <w:p>
      <w:pPr>
        <w:spacing w:after="0" w:line="20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Notices To Sublandlord: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Notices to Subtenant: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With a copy (not constituting notice) to: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CBRE,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 Suite 900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Real Estate”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CBRE,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6055 Primacy Pkwy, Ste 300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Memphis, TN 38119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Portfolio Administration Services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PAS_CBREDocs@cbre.com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PAS phone 901-620-3000 and fax is 901-339-9671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216" w:lineRule="auto"/>
        <w:rPr>
          <w:sz w:val="20"/>
          <w:szCs w:val="20"/>
          <w:color w:val="auto"/>
        </w:rPr>
      </w:pPr>
      <w:r>
        <w:rPr>
          <w:rFonts w:ascii="Times New Roman" w:cs="Times New Roman" w:eastAsia="Times New Roman" w:hAnsi="Times New Roman"/>
          <w:sz w:val="18"/>
          <w:szCs w:val="18"/>
          <w:color w:val="auto"/>
        </w:rPr>
        <w:t>99 High Street,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02129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LegalNotice@praxismedicines.com;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rsahakian@praxismedicines.com</w:t>
      </w:r>
    </w:p>
    <w:p>
      <w:pPr>
        <w:spacing w:after="0" w:line="185" w:lineRule="exact"/>
        <w:rPr>
          <w:sz w:val="20"/>
          <w:szCs w:val="20"/>
          <w:color w:val="auto"/>
        </w:rPr>
      </w:pPr>
    </w:p>
    <w:p>
      <w:pPr>
        <w:sectPr>
          <w:pgSz w:w="11900" w:h="16838" w:orient="portrait"/>
          <w:cols w:equalWidth="0" w:num="2">
            <w:col w:w="4040" w:space="720"/>
            <w:col w:w="6480"/>
          </w:cols>
          <w:pgMar w:left="320" w:top="1383" w:right="339" w:bottom="1440" w:gutter="0" w:footer="0" w:header="0"/>
          <w:type w:val="continuous"/>
        </w:sect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11.2</w:t>
      </w:r>
      <w:r>
        <w:rPr>
          <w:sz w:val="20"/>
          <w:szCs w:val="20"/>
          <w:color w:val="auto"/>
        </w:rPr>
        <w:tab/>
      </w:r>
      <w:r>
        <w:rPr>
          <w:rFonts w:ascii="Times New Roman" w:cs="Times New Roman" w:eastAsia="Times New Roman" w:hAnsi="Times New Roman"/>
          <w:sz w:val="18"/>
          <w:szCs w:val="18"/>
          <w:b w:val="1"/>
          <w:bCs w:val="1"/>
          <w:u w:val="single" w:color="auto"/>
          <w:color w:val="auto"/>
        </w:rPr>
        <w:t>Assignment, Subletting And Encumbrance</w:t>
      </w:r>
      <w:r>
        <w:rPr>
          <w:rFonts w:ascii="Times New Roman" w:cs="Times New Roman" w:eastAsia="Times New Roman" w:hAnsi="Times New Roman"/>
          <w:sz w:val="18"/>
          <w:szCs w:val="18"/>
          <w:color w:val="auto"/>
        </w:rPr>
        <w:t>. Subtenant shall not voluntarily or involuntarily, by operation of law or otherwise,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assign, sublet, mortgage or otherwise encumber all or any portion of its interest in this Sublease or in the Premises without obtaining the prior written consent of Sublandlord and Master Landlord with respect thereto, but only to the extent such consent shall be required pursuant to Section 11 of the Original Lease. Provided Master Landlord’s consent is obtained, Sublandlord shall not unreasonably withhold its consent to any proposed sublease; provided, further,</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however that Sublandlord may require as a condition of granting any such consent that (i) the proposed sublessee demonstrate that its financial resources are sufficient to service its proposed obligations under such sublease, (ii) the nature of the sublessee’s proposed use of the Premises and the sublessee’s reputation shall be reasonably satisfactory to Sublandlord and (iii) Subtenant reaffirms, in form satisfactory to Sublandlord, its continuing liability under the Sublease,</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including that the Letter of Credit remain in place in favor of Sublandlord throughout the term of this Sublease. Except as provided above, Sublandlord may withhold in its sole and absolute discretion its consent to any assignment, mortgage, encumbrance or other transfer of this Sublease. Any assignment, subletting, mortgage or other encumbrance attempted by Subtenant to which Sublandlord and/or Master Landlord has not consented in writing pursuant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hereof shall be null and void and of no effect.</w:t>
      </w:r>
    </w:p>
    <w:p>
      <w:pPr>
        <w:spacing w:after="0" w:line="157"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11.3</w:t>
      </w:r>
      <w:r>
        <w:rPr>
          <w:sz w:val="20"/>
          <w:szCs w:val="20"/>
          <w:color w:val="auto"/>
        </w:rPr>
        <w:tab/>
      </w:r>
      <w:r>
        <w:rPr>
          <w:rFonts w:ascii="Times New Roman" w:cs="Times New Roman" w:eastAsia="Times New Roman" w:hAnsi="Times New Roman"/>
          <w:sz w:val="17"/>
          <w:szCs w:val="17"/>
          <w:b w:val="1"/>
          <w:bCs w:val="1"/>
          <w:u w:val="single" w:color="auto"/>
          <w:color w:val="auto"/>
        </w:rPr>
        <w:t>Alterations</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ind w:left="192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11.3.1</w:t>
      </w:r>
      <w:r>
        <w:rPr>
          <w:sz w:val="20"/>
          <w:szCs w:val="20"/>
          <w:color w:val="auto"/>
        </w:rPr>
        <w:tab/>
      </w:r>
      <w:r>
        <w:rPr>
          <w:rFonts w:ascii="Times New Roman" w:cs="Times New Roman" w:eastAsia="Times New Roman" w:hAnsi="Times New Roman"/>
          <w:sz w:val="18"/>
          <w:szCs w:val="18"/>
          <w:b w:val="1"/>
          <w:bCs w:val="1"/>
          <w:u w:val="single" w:color="auto"/>
          <w:color w:val="auto"/>
        </w:rPr>
        <w:t>Alterations and Improvements By Subtenant</w:t>
      </w:r>
      <w:r>
        <w:rPr>
          <w:rFonts w:ascii="Times New Roman" w:cs="Times New Roman" w:eastAsia="Times New Roman" w:hAnsi="Times New Roman"/>
          <w:sz w:val="18"/>
          <w:szCs w:val="18"/>
          <w:color w:val="auto"/>
        </w:rPr>
        <w:t>. Except to the extent Subtenant shall be entitled to perform the same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without consent in accordance with Section 4(f) of the Original Lease, Subtenant shall not make any alterations, additions or improvements to the Premises (collectively, “Alterations”) without first (i) obtaining the written approval of such Alterations from each of Master Landlord and Sublandlord (all in accordance with Section 4(f) of the Original Lease) and (ii) otherwise complying with all provisions of the Master Lease applicable to such Alteration. Master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 and Sublandlord may grant or withhold its approval to</w:t>
      </w:r>
    </w:p>
    <w:p>
      <w:pPr>
        <w:sectPr>
          <w:pgSz w:w="11900" w:h="16838" w:orient="portrait"/>
          <w:cols w:equalWidth="0" w:num="1">
            <w:col w:w="11240"/>
          </w:cols>
          <w:pgMar w:left="320" w:top="1383" w:right="339" w:bottom="1440" w:gutter="0" w:footer="0" w:header="0"/>
          <w:type w:val="continuous"/>
        </w:sectPr>
      </w:pPr>
    </w:p>
    <w:bookmarkStart w:id="183" w:name="page184"/>
    <w:bookmarkEnd w:id="183"/>
    <w:p>
      <w:pPr>
        <w:jc w:val="both"/>
        <w:spacing w:after="0" w:line="232" w:lineRule="auto"/>
        <w:rPr>
          <w:sz w:val="20"/>
          <w:szCs w:val="20"/>
          <w:color w:val="auto"/>
        </w:rPr>
      </w:pPr>
      <w:r>
        <w:rPr>
          <w:rFonts w:ascii="Times New Roman" w:cs="Times New Roman" w:eastAsia="Times New Roman" w:hAnsi="Times New Roman"/>
          <w:sz w:val="17"/>
          <w:szCs w:val="17"/>
          <w:color w:val="auto"/>
        </w:rPr>
        <w:t>any such Alterations, and may impose any conditions with respect thereto, all in accordance with Section 4(f) of the Original Lease. All such Alterations shall be constructed only after necessary permits, licenses and approvals have been obtained from appropriate governmental agencies and all improvements shall</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be constructed as to conform to all relevant codes, regulations, and ordinances. All such Alterations shall be made at Subtenant’s sole cost and shall be diligently prosecuted to completion. Any contractor or person making such Alterations shall first be approved in writing by Sublandlord, such approval not to be unreasonably withheld, conditioned or delayed. Notwithstanding anything to the contrary contained in the Master Lease, in no event shall Subtenant be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required to remove any alterations or improvements existing in the Premises as of the Commencement Date. Subtenant shall permit no mechanics’ or other liens to be recorded against the Premises. Should a lien be made or filed against the Premises or real property on which the Premises are situated, Subtenant at its sole cost, shall bond against or discharge said lien within ten (10) days after Sublandlord’s or Master Landlord’s written request to do so.</w:t>
      </w:r>
    </w:p>
    <w:p>
      <w:pPr>
        <w:spacing w:after="0" w:line="167" w:lineRule="exact"/>
        <w:rPr>
          <w:sz w:val="20"/>
          <w:szCs w:val="20"/>
          <w:color w:val="auto"/>
        </w:rPr>
      </w:pPr>
    </w:p>
    <w:p>
      <w:pPr>
        <w:jc w:val="both"/>
        <w:ind w:firstLine="1917"/>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11.3.2 </w:t>
      </w:r>
      <w:r>
        <w:rPr>
          <w:rFonts w:ascii="Times New Roman" w:cs="Times New Roman" w:eastAsia="Times New Roman" w:hAnsi="Times New Roman"/>
          <w:sz w:val="17"/>
          <w:szCs w:val="17"/>
          <w:b w:val="1"/>
          <w:bCs w:val="1"/>
          <w:u w:val="single" w:color="auto"/>
          <w:color w:val="auto"/>
        </w:rPr>
        <w:t>Removal of Personal Property</w:t>
      </w:r>
      <w:r>
        <w:rPr>
          <w:rFonts w:ascii="Times New Roman" w:cs="Times New Roman" w:eastAsia="Times New Roman" w:hAnsi="Times New Roman"/>
          <w:sz w:val="17"/>
          <w:szCs w:val="17"/>
          <w:color w:val="auto"/>
        </w:rPr>
        <w:t>. All articles of personal property, and all business and trade fixtures, machinery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equipment, cabinet work, furniture and movable partitions, if any, owned or installed by Subtenant at its expense in the Premises shall be and remain the property of Subtenant and may be removed by Subtenant at any time, provided that Subtenant, at its expense, shall repair any damage to the Premises caused</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by such removal or by the original installation. Sublandlord may elect to require Subtenant to remove all or any part of the aforementioned property at the expiration or sooner termination of the Sublease, in which event such removal shall be done at Subtenant’s expense, and Subtenant shall at its own expense repair any damage to the Premises caused by such removal and/or installation prior to the termination of this Sublease and otherwise leave the Premises in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condition required pursuant to the Master Lease. Except as otherwise set forth in this Sublease, all articles of personal property, and all business and trade fixtures, machinery and equipment, cabinet work, furniture and movable partitions provided by Sublandlord, including the FF&amp;E, shall remain the property of Sublandlord, and Subtenant shall not remove any of them from the Premises without the prior written consent of Sublandlord.</w:t>
      </w:r>
    </w:p>
    <w:p>
      <w:pPr>
        <w:spacing w:after="0" w:line="167" w:lineRule="exact"/>
        <w:rPr>
          <w:sz w:val="20"/>
          <w:szCs w:val="20"/>
          <w:color w:val="auto"/>
        </w:rPr>
      </w:pPr>
    </w:p>
    <w:p>
      <w:pPr>
        <w:jc w:val="both"/>
        <w:ind w:firstLine="1278"/>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11.4 </w:t>
      </w:r>
      <w:r>
        <w:rPr>
          <w:rFonts w:ascii="Times New Roman" w:cs="Times New Roman" w:eastAsia="Times New Roman" w:hAnsi="Times New Roman"/>
          <w:sz w:val="17"/>
          <w:szCs w:val="17"/>
          <w:b w:val="1"/>
          <w:bCs w:val="1"/>
          <w:u w:val="single" w:color="auto"/>
          <w:color w:val="auto"/>
        </w:rPr>
        <w:t>Holding Over</w:t>
      </w:r>
      <w:r>
        <w:rPr>
          <w:rFonts w:ascii="Times New Roman" w:cs="Times New Roman" w:eastAsia="Times New Roman" w:hAnsi="Times New Roman"/>
          <w:sz w:val="17"/>
          <w:szCs w:val="17"/>
          <w:color w:val="auto"/>
        </w:rPr>
        <w:t>. If Subtenant holds over after the expiration or earlier termination of this Sublease, with or without the express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implied consent of Sublandlord, then at the option of Sublandlord, Subtenant shall become and be only a month-to-month tenant at a rent equal to Two Hundred Percent (200%) of the Rent payable by Subtenant immediately prior to such expiration or termination, and otherwise upon the terms, covenants and</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conditions herein specified. Notwithstanding any provision to the contrary contained herein, (i) Sublandlord expressly reserves the right to require Subtenant to surrender possession of the Premises upon the expiration of the Term or upon the earlier termination hereof and the right to assert any remedy at law or in equity to evict Subtenant and/or collect damages in connection with any such holding over, and (ii) Subtenant shall indemnify, defend and hold Sublandlord</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harmless from and against any and all claims, demands, actions, losses, damages, obligations, costs and expenses, including, without limitation, attorneys’ fees incurred or suffered by Sublandlord by reason of Subtenant’s failure to surrender the Premises on the expiration or earlier termination of this Sublease in accordance with the provisions of this Sublease.</w:t>
      </w:r>
    </w:p>
    <w:p>
      <w:pPr>
        <w:spacing w:after="0" w:line="167" w:lineRule="exact"/>
        <w:rPr>
          <w:sz w:val="20"/>
          <w:szCs w:val="20"/>
          <w:color w:val="auto"/>
        </w:rPr>
      </w:pPr>
    </w:p>
    <w:p>
      <w:pPr>
        <w:jc w:val="both"/>
        <w:ind w:firstLine="1278"/>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11.5 </w:t>
      </w:r>
      <w:r>
        <w:rPr>
          <w:rFonts w:ascii="Times New Roman" w:cs="Times New Roman" w:eastAsia="Times New Roman" w:hAnsi="Times New Roman"/>
          <w:sz w:val="17"/>
          <w:szCs w:val="17"/>
          <w:b w:val="1"/>
          <w:bCs w:val="1"/>
          <w:u w:val="single" w:color="auto"/>
          <w:color w:val="auto"/>
        </w:rPr>
        <w:t>Estoppel Certificate</w:t>
      </w:r>
      <w:r>
        <w:rPr>
          <w:rFonts w:ascii="Times New Roman" w:cs="Times New Roman" w:eastAsia="Times New Roman" w:hAnsi="Times New Roman"/>
          <w:sz w:val="17"/>
          <w:szCs w:val="17"/>
          <w:color w:val="auto"/>
        </w:rPr>
        <w:t>. At any time and from time to time, Subtenant shall within ten (10) days of Sublandlord’s written request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do so, execute, acknowledge and deliver to Sublandlord, promptly upon request, a certificate certifying (a) that this Sublease is unmodified and in full force and effect (or, if there have been modifications, that this Sublease is in full force and effect, as modified, and stating the date and nature of each modification),</w:t>
      </w:r>
    </w:p>
    <w:p>
      <w:pPr>
        <w:spacing w:after="0" w:line="2" w:lineRule="exact"/>
        <w:rPr>
          <w:sz w:val="20"/>
          <w:szCs w:val="20"/>
          <w:color w:val="auto"/>
        </w:rPr>
      </w:pPr>
    </w:p>
    <w:p>
      <w:pPr>
        <w:ind w:firstLine="6"/>
        <w:spacing w:after="0" w:line="223" w:lineRule="auto"/>
        <w:tabs>
          <w:tab w:leader="none" w:pos="25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to which Rent and other sums payable hereunder have been paid, (c) that no notice has been received by Subtenant of any default which has not been cured, except as to defaults specified in said certificate, and (d) such other matters as may be reasonably requested by Sublandlord.</w:t>
      </w:r>
    </w:p>
    <w:p>
      <w:pPr>
        <w:spacing w:after="0" w:line="152"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11.6</w:t>
      </w:r>
      <w:r>
        <w:rPr>
          <w:sz w:val="20"/>
          <w:szCs w:val="20"/>
          <w:color w:val="auto"/>
        </w:rPr>
        <w:tab/>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The waiver of Sublandlord or Subtenant of any agreement, condition or provision contained herein or any provision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incorporated herein by reference shall not be deemed to be a waiver of any subsequent breach of the same or any other agreement, condition or provision, nor shall any custom or practice which may evolve between the parties in the administration of the terms hereof be construed to waive or to lessen the right of Sublandlord or Subtenant, as applicable, to insist upon the performance by the non-performing party in strict accordance with said terms. The subsequent acceptance of Rent hereunder by Sublandlord shall not be deemed to be a waiver of any preceding breach by Subtenant of any agreement or condition of this</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Sublease or the same incorporated herein by reference, other than the failure of Subtenant to pay the particular Rent so accepted, regardless of Sublandlord’s knowledge of such preceding breach at the time of acceptance of such Rent.</w:t>
      </w:r>
    </w:p>
    <w:p>
      <w:pPr>
        <w:spacing w:after="0" w:line="152"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11.7</w:t>
      </w:r>
      <w:r>
        <w:rPr>
          <w:sz w:val="20"/>
          <w:szCs w:val="20"/>
          <w:color w:val="auto"/>
        </w:rPr>
        <w:tab/>
      </w:r>
      <w:r>
        <w:rPr>
          <w:rFonts w:ascii="Times New Roman" w:cs="Times New Roman" w:eastAsia="Times New Roman" w:hAnsi="Times New Roman"/>
          <w:sz w:val="18"/>
          <w:szCs w:val="18"/>
          <w:b w:val="1"/>
          <w:bCs w:val="1"/>
          <w:u w:val="single" w:color="auto"/>
          <w:color w:val="auto"/>
        </w:rPr>
        <w:t>Complete Agreement</w:t>
      </w:r>
      <w:r>
        <w:rPr>
          <w:rFonts w:ascii="Times New Roman" w:cs="Times New Roman" w:eastAsia="Times New Roman" w:hAnsi="Times New Roman"/>
          <w:sz w:val="18"/>
          <w:szCs w:val="18"/>
          <w:color w:val="auto"/>
        </w:rPr>
        <w:t>. There are no oral agreements between Sublandlord and Subtenant affecting this Sublease, and this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Sublease supersedes and cancels any and all previous negotiations, arrangements, brochures, agreements and understandings, if any, between Sublandlord and Subtenant or displayed by Sublandlord, its agents or real estate brokers to Subtenant with respect to the subject matter of this Sublease, the Premises or the Building. There are no representations between Sublandlord and Subtenant other than those contained in or incorporated by reference into this Sublease.</w:t>
      </w:r>
    </w:p>
    <w:p>
      <w:pPr>
        <w:sectPr>
          <w:pgSz w:w="11900" w:h="16838" w:orient="portrait"/>
          <w:cols w:equalWidth="0" w:num="1">
            <w:col w:w="11240"/>
          </w:cols>
          <w:pgMar w:left="320" w:top="1386" w:right="339" w:bottom="1440" w:gutter="0" w:footer="0" w:header="0"/>
        </w:sectPr>
      </w:pPr>
    </w:p>
    <w:bookmarkStart w:id="184" w:name="page185"/>
    <w:bookmarkEnd w:id="184"/>
    <w:p>
      <w:pPr>
        <w:ind w:firstLine="1278"/>
        <w:spacing w:after="0" w:line="234" w:lineRule="auto"/>
        <w:rPr>
          <w:sz w:val="20"/>
          <w:szCs w:val="20"/>
          <w:color w:val="auto"/>
        </w:rPr>
      </w:pPr>
      <w:r>
        <w:rPr>
          <w:rFonts w:ascii="Times New Roman" w:cs="Times New Roman" w:eastAsia="Times New Roman" w:hAnsi="Times New Roman"/>
          <w:sz w:val="16"/>
          <w:szCs w:val="16"/>
          <w:b w:val="1"/>
          <w:bCs w:val="1"/>
          <w:color w:val="auto"/>
        </w:rPr>
        <w:t xml:space="preserve">11.8 </w:t>
      </w:r>
      <w:r>
        <w:rPr>
          <w:rFonts w:ascii="Times New Roman" w:cs="Times New Roman" w:eastAsia="Times New Roman" w:hAnsi="Times New Roman"/>
          <w:sz w:val="17"/>
          <w:szCs w:val="17"/>
          <w:b w:val="1"/>
          <w:bCs w:val="1"/>
          <w:u w:val="single" w:color="auto"/>
          <w:color w:val="auto"/>
        </w:rPr>
        <w:t>Insurance</w:t>
      </w:r>
      <w:r>
        <w:rPr>
          <w:rFonts w:ascii="Times New Roman" w:cs="Times New Roman" w:eastAsia="Times New Roman" w:hAnsi="Times New Roman"/>
          <w:sz w:val="17"/>
          <w:szCs w:val="17"/>
          <w:color w:val="auto"/>
        </w:rPr>
        <w:t>. In addition to the obligations set forth in the Master Lease, Subtenant shall comply with the requirements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attached hereto. The parties specifically acknowledge the waiver of subrogation contained in Section 8(e) is incorporated by reference as if the</w:t>
      </w:r>
    </w:p>
    <w:p>
      <w:pPr>
        <w:spacing w:after="0"/>
        <w:rPr>
          <w:sz w:val="20"/>
          <w:szCs w:val="20"/>
          <w:color w:val="auto"/>
        </w:rPr>
      </w:pPr>
      <w:r>
        <w:rPr>
          <w:rFonts w:ascii="Times New Roman" w:cs="Times New Roman" w:eastAsia="Times New Roman" w:hAnsi="Times New Roman"/>
          <w:sz w:val="18"/>
          <w:szCs w:val="18"/>
          <w:color w:val="auto"/>
        </w:rPr>
        <w:t>“Landlord” were Sublandlord and “Tenant” were Subtenant thereunder.</w:t>
      </w:r>
    </w:p>
    <w:p>
      <w:pPr>
        <w:spacing w:after="0" w:line="157" w:lineRule="exact"/>
        <w:rPr>
          <w:sz w:val="20"/>
          <w:szCs w:val="20"/>
          <w:color w:val="auto"/>
        </w:rPr>
      </w:pPr>
    </w:p>
    <w:p>
      <w:pPr>
        <w:ind w:left="1280" w:hanging="635"/>
        <w:spacing w:after="0"/>
        <w:tabs>
          <w:tab w:leader="none" w:pos="1280" w:val="left"/>
        </w:tabs>
        <w:numPr>
          <w:ilvl w:val="0"/>
          <w:numId w:val="1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Indemnification; Exculpation</w:t>
      </w:r>
    </w:p>
    <w:p>
      <w:pPr>
        <w:spacing w:after="0" w:line="179"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12.1</w:t>
      </w:r>
      <w:r>
        <w:rPr>
          <w:sz w:val="20"/>
          <w:szCs w:val="20"/>
          <w:color w:val="auto"/>
        </w:rPr>
        <w:tab/>
      </w:r>
      <w:r>
        <w:rPr>
          <w:rFonts w:ascii="Times New Roman" w:cs="Times New Roman" w:eastAsia="Times New Roman" w:hAnsi="Times New Roman"/>
          <w:sz w:val="17"/>
          <w:szCs w:val="17"/>
          <w:b w:val="1"/>
          <w:bCs w:val="1"/>
          <w:u w:val="single" w:color="auto"/>
          <w:color w:val="auto"/>
        </w:rPr>
        <w:t>Non-Liability Of Sublandlord</w:t>
      </w:r>
      <w:r>
        <w:rPr>
          <w:rFonts w:ascii="Times New Roman" w:cs="Times New Roman" w:eastAsia="Times New Roman" w:hAnsi="Times New Roman"/>
          <w:sz w:val="17"/>
          <w:szCs w:val="17"/>
          <w:color w:val="auto"/>
        </w:rPr>
        <w:t>. Sublandlord shall not be liable to Subtenant, and Subtenant hereby waives and releases all claims</w:t>
      </w:r>
    </w:p>
    <w:p>
      <w:pPr>
        <w:spacing w:after="0" w:line="13"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against Sublandlord and its partners, officers, directors, employees, trustees, successors, assigns, agents, servants, affiliates, representatives, and contractors (collectively, herein “</w:t>
      </w:r>
      <w:r>
        <w:rPr>
          <w:rFonts w:ascii="Times New Roman" w:cs="Times New Roman" w:eastAsia="Times New Roman" w:hAnsi="Times New Roman"/>
          <w:sz w:val="18"/>
          <w:szCs w:val="18"/>
          <w:b w:val="1"/>
          <w:bCs w:val="1"/>
          <w:color w:val="auto"/>
        </w:rPr>
        <w:t>Sublandlord Affiliates</w:t>
      </w:r>
      <w:r>
        <w:rPr>
          <w:rFonts w:ascii="Times New Roman" w:cs="Times New Roman" w:eastAsia="Times New Roman" w:hAnsi="Times New Roman"/>
          <w:sz w:val="18"/>
          <w:szCs w:val="18"/>
          <w:color w:val="auto"/>
        </w:rPr>
        <w:t>”) for injury or damage to any person or property occurring or incurred in connection with, or in any way relating to, the Premises. Without limiting the foregoing, neither Sublandlord nor any of the Sublandlord Affiliates shall be liable for and there shall be no</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abatement of Rent for (i) any damage to Subtenant’s property stored with or entrusted to Sublandlord or Sublandlord Affiliates, (ii) loss of or damage to any property by theft or any other wrongful or illegal act, or (iii) any injury or damage to persons or property resulting from fire, explosion, falling plaster, steam, gas, electricity, water or rain which may leak from any part of the Premises or from the pipes, appliances, appurtenances or plumbing works therein or from</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the roof, street or sub-surface or from any other place or resulting from dampness or any other cause whatsoever or from the acts or omissions of other sublessees, occupants or other visitors to the Premises or from any other cause whatsoever, or (iv) any latent or other defect in the Premises. Notwithstanding any provision of this Section 12.1 to the contrary, except where and to the extent any damage suffered by Subtenant is covered by Subtenant’s insurance,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waiver of liability contained in this Section 12.01 shall not apply to damage resulting directly from the gross negligence or willful misconduct of Sublandlord; provided, further, however, in no case shall Sublandlord ever be liable to Subtenant for (and Subtenant hereby waives any right to recover from Sublandlord for) any lost profits, business interruption or any form of consequential damage.</w:t>
      </w:r>
    </w:p>
    <w:p>
      <w:pPr>
        <w:spacing w:after="0" w:line="167" w:lineRule="exact"/>
        <w:rPr>
          <w:sz w:val="20"/>
          <w:szCs w:val="20"/>
          <w:color w:val="auto"/>
        </w:rPr>
      </w:pPr>
    </w:p>
    <w:p>
      <w:pPr>
        <w:jc w:val="both"/>
        <w:ind w:firstLine="1278"/>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12.2 </w:t>
      </w:r>
      <w:r>
        <w:rPr>
          <w:rFonts w:ascii="Times New Roman" w:cs="Times New Roman" w:eastAsia="Times New Roman" w:hAnsi="Times New Roman"/>
          <w:sz w:val="17"/>
          <w:szCs w:val="17"/>
          <w:b w:val="1"/>
          <w:bCs w:val="1"/>
          <w:u w:val="single" w:color="auto"/>
          <w:color w:val="auto"/>
        </w:rPr>
        <w:t>Indemnification Of Sublandlord; Indemnification Of Master Landlord</w:t>
      </w:r>
      <w:r>
        <w:rPr>
          <w:rFonts w:ascii="Times New Roman" w:cs="Times New Roman" w:eastAsia="Times New Roman" w:hAnsi="Times New Roman"/>
          <w:sz w:val="17"/>
          <w:szCs w:val="17"/>
          <w:color w:val="auto"/>
        </w:rPr>
        <w:t>. Subtenant shall indemnify, defend, protect and hold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Sublandlord, Master Landlord, Master Landlord’s managing agent, the employees of Master Landlord and the employees of Master Landlord’s managing agent harmless from and against any and all claims, suits, judgments, losses, costs, obligations, damages, expenses, interest and liabilities, including, without</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limitation, actual attorneys’ fees and costs, incurred or asserted in connection with (i) injury or damage to any person or property whatsoever arising out of or in connection with this Sublease, the Premises or Subtenant’s activities in or about the Premises including, without limitation, when such injury or damage has been caused in whole or in part by the act, negligence, fault or omission of Subtenant, its agents, servants, contractors, employees, representatives,</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licensees or invitees (provided, however that the indemnification provided in this Section 12.2(i) shall not apply to any injury or damage directly resulting from the gross negligence or willful misconduct of Sublandlord, its agents, employees and contractors), or (ii) any breach or default by Subtenant of its obligations under this Sublease. The provisions of this Section 12.2 shall survive the expiration or earlier termination of this Sublease.</w:t>
      </w:r>
    </w:p>
    <w:p>
      <w:pPr>
        <w:spacing w:after="0" w:line="167" w:lineRule="exact"/>
        <w:rPr>
          <w:sz w:val="20"/>
          <w:szCs w:val="20"/>
          <w:color w:val="auto"/>
        </w:rPr>
      </w:pPr>
    </w:p>
    <w:p>
      <w:pPr>
        <w:jc w:val="both"/>
        <w:ind w:firstLine="1278"/>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12.3 </w:t>
      </w:r>
      <w:r>
        <w:rPr>
          <w:rFonts w:ascii="Times New Roman" w:cs="Times New Roman" w:eastAsia="Times New Roman" w:hAnsi="Times New Roman"/>
          <w:sz w:val="17"/>
          <w:szCs w:val="17"/>
          <w:b w:val="1"/>
          <w:bCs w:val="1"/>
          <w:u w:val="single" w:color="auto"/>
          <w:color w:val="auto"/>
        </w:rPr>
        <w:t>Master Landlord Default; Consents</w:t>
      </w:r>
      <w:r>
        <w:rPr>
          <w:rFonts w:ascii="Times New Roman" w:cs="Times New Roman" w:eastAsia="Times New Roman" w:hAnsi="Times New Roman"/>
          <w:sz w:val="17"/>
          <w:szCs w:val="17"/>
          <w:color w:val="auto"/>
        </w:rPr>
        <w:t>. Notwithstanding any provision of this Sublease to the contrary, (a) Sublandlord shall not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liable or responsible in any way for any loss, damage, cost, expense, obligation or liability suffered by Subtenant by reason or as the result of any breach, default or failure to perform by the Master Landlord under the Master Lease, including without limitation, in any case where services, utilities, repairs,</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maintenance or other performance is to be rendered by Master Landlord with respect to the Premises under the Master Lease and Master Landlord either fails to do so or does in an improper, negligent, inadequate or otherwise defective manner, and (b) whenever the consent or approval of Sublandlord and Master Landlord is required for a particular act, event or transaction (i) any such consent or approval by Sublandlord shall be subject to the consent or approval 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Master Landlord and (ii) should Master Landlord refuse to grant such consent or approval, under all circumstances, Sublandlord shall be released from any obligation to grant its consent or approval. Except as is expressly provided to the contrary herein, Sublandlord shall have no obligation hereunder to provide services, utilities, repairs, maintenance or other performance (including, without limitation any of the same which is contemplated to be provided by Master Landlord under the Master Lease).</w:t>
      </w:r>
    </w:p>
    <w:p>
      <w:pPr>
        <w:spacing w:after="0" w:line="169" w:lineRule="exact"/>
        <w:rPr>
          <w:sz w:val="20"/>
          <w:szCs w:val="20"/>
          <w:color w:val="auto"/>
        </w:rPr>
      </w:pPr>
    </w:p>
    <w:p>
      <w:pPr>
        <w:ind w:left="1280" w:hanging="635"/>
        <w:spacing w:after="0"/>
        <w:tabs>
          <w:tab w:leader="none" w:pos="1280"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1278"/>
        <w:spacing w:after="0" w:line="234" w:lineRule="auto"/>
        <w:rPr>
          <w:sz w:val="20"/>
          <w:szCs w:val="20"/>
          <w:color w:val="auto"/>
        </w:rPr>
      </w:pPr>
      <w:r>
        <w:rPr>
          <w:rFonts w:ascii="Times New Roman" w:cs="Times New Roman" w:eastAsia="Times New Roman" w:hAnsi="Times New Roman"/>
          <w:sz w:val="16"/>
          <w:szCs w:val="16"/>
          <w:b w:val="1"/>
          <w:bCs w:val="1"/>
          <w:color w:val="auto"/>
        </w:rPr>
        <w:t xml:space="preserve">13.1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Sublease may be executed in one or more counterparts by the parties hereto. All counterparts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construed together and shall constitute one agreement. A signed copy of this Sublease, including by industry standard electronic signature software, delivered</w:t>
      </w:r>
    </w:p>
    <w:p>
      <w:pPr>
        <w:jc w:val="both"/>
        <w:spacing w:after="0" w:line="205" w:lineRule="auto"/>
        <w:rPr>
          <w:sz w:val="20"/>
          <w:szCs w:val="20"/>
          <w:color w:val="auto"/>
        </w:rPr>
      </w:pPr>
      <w:r>
        <w:rPr>
          <w:rFonts w:ascii="Times New Roman" w:cs="Times New Roman" w:eastAsia="Times New Roman" w:hAnsi="Times New Roman"/>
          <w:sz w:val="18"/>
          <w:szCs w:val="18"/>
          <w:color w:val="auto"/>
        </w:rPr>
        <w:t>by facsimile, e-mail of a .pdf or other reliable means of electronic transmission shall be deemed to have the same legal effect as delivery of an original signed copy of this Sublease. Each party hereby waives any right to raise any defense or waiver based upon execution of this Sublease by means of such electronic signatures or maintenance of the executed agreement electronically or delivery by facsimile, e-mail of a .pdf or other reliable means of electronic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w:t>
      </w:r>
    </w:p>
    <w:p>
      <w:pPr>
        <w:sectPr>
          <w:pgSz w:w="11900" w:h="16838" w:orient="portrait"/>
          <w:cols w:equalWidth="0" w:num="1">
            <w:col w:w="11240"/>
          </w:cols>
          <w:pgMar w:left="320" w:top="1384" w:right="339" w:bottom="1440" w:gutter="0" w:footer="0" w:header="0"/>
        </w:sectPr>
      </w:pPr>
    </w:p>
    <w:bookmarkStart w:id="185" w:name="page186"/>
    <w:bookmarkEnd w:id="185"/>
    <w:p>
      <w:pPr>
        <w:jc w:val="both"/>
        <w:ind w:firstLine="127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13.2 </w:t>
      </w:r>
      <w:r>
        <w:rPr>
          <w:rFonts w:ascii="Times New Roman" w:cs="Times New Roman" w:eastAsia="Times New Roman" w:hAnsi="Times New Roman"/>
          <w:sz w:val="17"/>
          <w:szCs w:val="17"/>
          <w:b w:val="1"/>
          <w:bCs w:val="1"/>
          <w:u w:val="single" w:color="auto"/>
          <w:color w:val="auto"/>
        </w:rPr>
        <w:t>Sole Agreement</w:t>
      </w:r>
      <w:r>
        <w:rPr>
          <w:rFonts w:ascii="Times New Roman" w:cs="Times New Roman" w:eastAsia="Times New Roman" w:hAnsi="Times New Roman"/>
          <w:sz w:val="17"/>
          <w:szCs w:val="17"/>
          <w:color w:val="auto"/>
        </w:rPr>
        <w:t>. This Sublease contains all of the understandings of the parties and all representations made by either party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other are merged herein.</w:t>
      </w:r>
    </w:p>
    <w:p>
      <w:pPr>
        <w:spacing w:after="0" w:line="150" w:lineRule="exact"/>
        <w:rPr>
          <w:sz w:val="20"/>
          <w:szCs w:val="20"/>
          <w:color w:val="auto"/>
        </w:rPr>
      </w:pPr>
    </w:p>
    <w:p>
      <w:pPr>
        <w:jc w:val="both"/>
        <w:ind w:right="20" w:firstLine="127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13.3 </w:t>
      </w:r>
      <w:r>
        <w:rPr>
          <w:rFonts w:ascii="Times New Roman" w:cs="Times New Roman" w:eastAsia="Times New Roman" w:hAnsi="Times New Roman"/>
          <w:sz w:val="17"/>
          <w:szCs w:val="17"/>
          <w:b w:val="1"/>
          <w:bCs w:val="1"/>
          <w:u w:val="single" w:color="auto"/>
          <w:color w:val="auto"/>
        </w:rPr>
        <w:t>Modification</w:t>
      </w:r>
      <w:r>
        <w:rPr>
          <w:rFonts w:ascii="Times New Roman" w:cs="Times New Roman" w:eastAsia="Times New Roman" w:hAnsi="Times New Roman"/>
          <w:sz w:val="17"/>
          <w:szCs w:val="17"/>
          <w:color w:val="auto"/>
        </w:rPr>
        <w:t>. This Sublease may not be modified in any respect except by a document in writing executed by both parties hereto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or their respective successors.</w:t>
      </w:r>
    </w:p>
    <w:p>
      <w:pPr>
        <w:spacing w:after="0" w:line="137"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13.4</w:t>
      </w:r>
      <w:r>
        <w:rPr>
          <w:sz w:val="20"/>
          <w:szCs w:val="20"/>
          <w:color w:val="auto"/>
        </w:rPr>
        <w:tab/>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If either party hereto brings an action or other proceeding against the other to enforce, protect, or establish any</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right or remedy created under or arising out of this Sublease, the prevailing party shall be entitled to recover from the other party, all costs, fees and expenses, including, without limitation, attorneys’ fees, expenses, and disbursements incurred or sustained by such prevailing party in connection with such action or proceeding, and the prevailing party’s rights to recover its costs, fees and expenses, and any award thereof, shall be separate from, shall survive, and shall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merged with any judgment.</w:t>
      </w:r>
    </w:p>
    <w:p>
      <w:pPr>
        <w:spacing w:after="0" w:line="150"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13.5</w:t>
      </w:r>
      <w:r>
        <w:rPr>
          <w:sz w:val="20"/>
          <w:szCs w:val="20"/>
          <w:color w:val="auto"/>
        </w:rPr>
        <w:tab/>
      </w:r>
      <w:r>
        <w:rPr>
          <w:rFonts w:ascii="Times New Roman" w:cs="Times New Roman" w:eastAsia="Times New Roman" w:hAnsi="Times New Roman"/>
          <w:sz w:val="17"/>
          <w:szCs w:val="17"/>
          <w:b w:val="1"/>
          <w:bCs w:val="1"/>
          <w:u w:val="single" w:color="auto"/>
          <w:color w:val="auto"/>
        </w:rPr>
        <w:t>Binding Effect</w:t>
      </w:r>
      <w:r>
        <w:rPr>
          <w:rFonts w:ascii="Times New Roman" w:cs="Times New Roman" w:eastAsia="Times New Roman" w:hAnsi="Times New Roman"/>
          <w:sz w:val="17"/>
          <w:szCs w:val="17"/>
          <w:color w:val="auto"/>
        </w:rPr>
        <w:t>. This Sublease shall be binding on and inure to the benefit of the parties and their respective heirs, successors and</w:t>
      </w:r>
    </w:p>
    <w:p>
      <w:pPr>
        <w:spacing w:after="0"/>
        <w:rPr>
          <w:sz w:val="20"/>
          <w:szCs w:val="20"/>
          <w:color w:val="auto"/>
        </w:rPr>
      </w:pPr>
      <w:r>
        <w:rPr>
          <w:rFonts w:ascii="Times New Roman" w:cs="Times New Roman" w:eastAsia="Times New Roman" w:hAnsi="Times New Roman"/>
          <w:sz w:val="18"/>
          <w:szCs w:val="18"/>
          <w:color w:val="auto"/>
        </w:rPr>
        <w:t>assigns.</w:t>
      </w:r>
    </w:p>
    <w:p>
      <w:pPr>
        <w:spacing w:after="0" w:line="170"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13.6</w:t>
      </w:r>
      <w:r>
        <w:rPr>
          <w:sz w:val="20"/>
          <w:szCs w:val="20"/>
          <w:color w:val="auto"/>
        </w:rPr>
        <w:tab/>
      </w:r>
      <w:r>
        <w:rPr>
          <w:rFonts w:ascii="Times New Roman" w:cs="Times New Roman" w:eastAsia="Times New Roman" w:hAnsi="Times New Roman"/>
          <w:sz w:val="17"/>
          <w:szCs w:val="17"/>
          <w:b w:val="1"/>
          <w:bCs w:val="1"/>
          <w:u w:val="single" w:color="auto"/>
          <w:color w:val="auto"/>
        </w:rPr>
        <w:t>Time Is Of Essence</w:t>
      </w:r>
      <w:r>
        <w:rPr>
          <w:rFonts w:ascii="Times New Roman" w:cs="Times New Roman" w:eastAsia="Times New Roman" w:hAnsi="Times New Roman"/>
          <w:sz w:val="17"/>
          <w:szCs w:val="17"/>
          <w:color w:val="auto"/>
        </w:rPr>
        <w:t>. Time is of essence in respect of each and every term, covenant and condition of this Sublease.</w:t>
      </w:r>
    </w:p>
    <w:p>
      <w:pPr>
        <w:spacing w:after="0" w:line="191" w:lineRule="exact"/>
        <w:rPr>
          <w:sz w:val="20"/>
          <w:szCs w:val="20"/>
          <w:color w:val="auto"/>
        </w:rPr>
      </w:pPr>
    </w:p>
    <w:p>
      <w:pPr>
        <w:jc w:val="both"/>
        <w:ind w:firstLine="1278"/>
        <w:spacing w:after="0" w:line="234" w:lineRule="auto"/>
        <w:rPr>
          <w:sz w:val="20"/>
          <w:szCs w:val="20"/>
          <w:color w:val="auto"/>
        </w:rPr>
      </w:pPr>
      <w:r>
        <w:rPr>
          <w:rFonts w:ascii="Times New Roman" w:cs="Times New Roman" w:eastAsia="Times New Roman" w:hAnsi="Times New Roman"/>
          <w:sz w:val="16"/>
          <w:szCs w:val="16"/>
          <w:b w:val="1"/>
          <w:bCs w:val="1"/>
          <w:color w:val="auto"/>
        </w:rPr>
        <w:t xml:space="preserve">13.7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This Sublease shall be governed by, and construed in accordance with, the laws of the State of Massachusetts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(without giving effect to any choice or conflict of law provision or rule (whether of the State of Massachusetts or any other jurisdiction) that would cause the</w:t>
      </w:r>
    </w:p>
    <w:p>
      <w:pPr>
        <w:spacing w:after="0"/>
        <w:rPr>
          <w:sz w:val="20"/>
          <w:szCs w:val="20"/>
          <w:color w:val="auto"/>
        </w:rPr>
      </w:pPr>
      <w:r>
        <w:rPr>
          <w:rFonts w:ascii="Times New Roman" w:cs="Times New Roman" w:eastAsia="Times New Roman" w:hAnsi="Times New Roman"/>
          <w:sz w:val="18"/>
          <w:szCs w:val="18"/>
          <w:color w:val="auto"/>
        </w:rPr>
        <w:t>application of laws of any jurisdiction other than those of the State of Massachusetts).</w:t>
      </w:r>
    </w:p>
    <w:p>
      <w:pPr>
        <w:spacing w:after="0" w:line="157" w:lineRule="exact"/>
        <w:rPr>
          <w:sz w:val="20"/>
          <w:szCs w:val="20"/>
          <w:color w:val="auto"/>
        </w:rPr>
      </w:pPr>
    </w:p>
    <w:p>
      <w:pPr>
        <w:jc w:val="both"/>
        <w:ind w:firstLine="1278"/>
        <w:spacing w:after="0" w:line="234" w:lineRule="auto"/>
        <w:rPr>
          <w:sz w:val="20"/>
          <w:szCs w:val="20"/>
          <w:color w:val="auto"/>
        </w:rPr>
      </w:pPr>
      <w:r>
        <w:rPr>
          <w:rFonts w:ascii="Times New Roman" w:cs="Times New Roman" w:eastAsia="Times New Roman" w:hAnsi="Times New Roman"/>
          <w:sz w:val="16"/>
          <w:szCs w:val="16"/>
          <w:b w:val="1"/>
          <w:bCs w:val="1"/>
          <w:color w:val="auto"/>
        </w:rPr>
        <w:t xml:space="preserve">13.8 </w:t>
      </w:r>
      <w:r>
        <w:rPr>
          <w:rFonts w:ascii="Times New Roman" w:cs="Times New Roman" w:eastAsia="Times New Roman" w:hAnsi="Times New Roman"/>
          <w:sz w:val="17"/>
          <w:szCs w:val="17"/>
          <w:b w:val="1"/>
          <w:bCs w:val="1"/>
          <w:u w:val="single" w:color="auto"/>
          <w:color w:val="auto"/>
        </w:rPr>
        <w:t>Representations And Warranties</w:t>
      </w:r>
      <w:r>
        <w:rPr>
          <w:rFonts w:ascii="Times New Roman" w:cs="Times New Roman" w:eastAsia="Times New Roman" w:hAnsi="Times New Roman"/>
          <w:sz w:val="17"/>
          <w:szCs w:val="17"/>
          <w:color w:val="auto"/>
        </w:rPr>
        <w:t>. Subtenant hereby represents and warrants to Sublandlord that (i) each person signing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Sublease on behalf of Subtenant is duly authorized to execute and delivery this Sublease on behalf of Subtenant, (ii) the execution, delivery and performance</w:t>
      </w:r>
    </w:p>
    <w:p>
      <w:pPr>
        <w:jc w:val="both"/>
        <w:spacing w:after="0" w:line="215" w:lineRule="auto"/>
        <w:rPr>
          <w:sz w:val="20"/>
          <w:szCs w:val="20"/>
          <w:color w:val="auto"/>
        </w:rPr>
      </w:pPr>
      <w:r>
        <w:rPr>
          <w:rFonts w:ascii="Times New Roman" w:cs="Times New Roman" w:eastAsia="Times New Roman" w:hAnsi="Times New Roman"/>
          <w:sz w:val="18"/>
          <w:szCs w:val="18"/>
          <w:color w:val="auto"/>
        </w:rPr>
        <w:t>of this Sublease has been duly and validly authorized in accordance with the articles of incorporation, bylaws and other organizational documents of Subtenant, (iii) Subtenant is duly organized and in good standing under the laws of Delaware and (iv) upon the execution and delivery of this Sublease, this Sublease shall be binding and enforceable against Subtenant in accordance with its terms.</w:t>
      </w:r>
    </w:p>
    <w:p>
      <w:pPr>
        <w:spacing w:after="0" w:line="182" w:lineRule="exact"/>
        <w:rPr>
          <w:sz w:val="20"/>
          <w:szCs w:val="20"/>
          <w:color w:val="auto"/>
        </w:rPr>
      </w:pPr>
    </w:p>
    <w:p>
      <w:pPr>
        <w:jc w:val="both"/>
        <w:ind w:firstLine="1278"/>
        <w:spacing w:after="0" w:line="254" w:lineRule="auto"/>
        <w:rPr>
          <w:sz w:val="20"/>
          <w:szCs w:val="20"/>
          <w:color w:val="auto"/>
        </w:rPr>
      </w:pPr>
      <w:r>
        <w:rPr>
          <w:rFonts w:ascii="Times New Roman" w:cs="Times New Roman" w:eastAsia="Times New Roman" w:hAnsi="Times New Roman"/>
          <w:sz w:val="18"/>
          <w:szCs w:val="18"/>
          <w:color w:val="auto"/>
        </w:rPr>
        <w:t>Sublandlord hereby represents and warrants to Subtenant that (i) each person signing this Sublease on behalf of Sublandlord is duly authorized to execute and delivery this Sublease on behalf of Sublandlord, (ii) the execution, delivery and performance of this Sublease has been duly and validly authorized in accordance with the articles of incorporation, bylaws and other organizational documents of Sublandlord, (iii) Sublandlord is duly organized and in good standing under the laws of Delaware and (iv) upon the execution and delivery of this Sublease, this Sublease shall be binding and enforceable against Sublandlord in accordance with its terms.</w:t>
      </w:r>
    </w:p>
    <w:p>
      <w:pPr>
        <w:spacing w:after="0" w:line="167" w:lineRule="exact"/>
        <w:rPr>
          <w:sz w:val="20"/>
          <w:szCs w:val="20"/>
          <w:color w:val="auto"/>
        </w:rPr>
      </w:pPr>
    </w:p>
    <w:p>
      <w:pPr>
        <w:jc w:val="both"/>
        <w:ind w:firstLine="1278"/>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13.9 </w:t>
      </w:r>
      <w:r>
        <w:rPr>
          <w:rFonts w:ascii="Times New Roman" w:cs="Times New Roman" w:eastAsia="Times New Roman" w:hAnsi="Times New Roman"/>
          <w:sz w:val="17"/>
          <w:szCs w:val="17"/>
          <w:b w:val="1"/>
          <w:bCs w:val="1"/>
          <w:u w:val="single" w:color="auto"/>
          <w:color w:val="auto"/>
        </w:rPr>
        <w:t>Confidentiality.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Sublandlord and Subtenant hereby agree that the information contained in this Sublease shall be held in strict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confidence and none of the terms or conditions contained herein shall be disclosed to any person or entity, other than Sublandlord’s and Subtenant’s respective attorneys, accountants, consultants, investors, and brokers, all of which who shall agree to the confidentiality of this Sublease, or to the extent</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required by applicable law, court order, or in any litigation in connection with this Sublease. Subtenant and its agents shall avoid discussing with, or disclosing to, any third parties (except those specifically listed above) any of the terms, conditions or particulars contained herein. This provision shall not be deemed breached if disclosure is required by applicable law or otherwise consented to in writing by the non-disclosing party. Nothing contained in this</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Sublease is intended to prohibit Sublandlord or Subtenant from filing this Sublease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 the extent that such party is required to do so pursuant to applicable SEC requirements; provided, however, Subtenant acknowledges and agrees that it shall not (and is not permitted to) file a copy of the Master Lease as part of its SEC disclosures unless Master Landlord has consented to the same. In other words, unless</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Subtenant has received Master Landlord’s consent to submit the Master Lease, Subtenant must either remove or redact the Master Lease exhibit as part of any filing of this Sublease, the failure to comply shall be an immediate event of default under this Sublease entitled Sublandlord to any and all remedies available under this Sublease.</w:t>
      </w:r>
    </w:p>
    <w:p>
      <w:pPr>
        <w:spacing w:after="0" w:line="180" w:lineRule="exact"/>
        <w:rPr>
          <w:sz w:val="20"/>
          <w:szCs w:val="20"/>
          <w:color w:val="auto"/>
        </w:rPr>
      </w:pPr>
    </w:p>
    <w:p>
      <w:pPr>
        <w:jc w:val="both"/>
        <w:ind w:firstLine="127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13.10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Sublandlord and Subtenant each hereby acknowledge and agree that they shall not use, without the other party’s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approval, which may be withheld by the non-requesting party, in the non-requesting party’s sole discretion, the name of the non-requesting party and its affiliates, products, or any signs, markings, or symbols from which a connection to the non-requesting party, in non-requesting party’s absolute and</w:t>
      </w:r>
    </w:p>
    <w:p>
      <w:pPr>
        <w:sectPr>
          <w:pgSz w:w="11900" w:h="16838" w:orient="portrait"/>
          <w:cols w:equalWidth="0" w:num="1">
            <w:col w:w="11240"/>
          </w:cols>
          <w:pgMar w:left="320" w:top="1384" w:right="339" w:bottom="1440" w:gutter="0" w:footer="0" w:header="0"/>
        </w:sectPr>
      </w:pPr>
    </w:p>
    <w:bookmarkStart w:id="186" w:name="page187"/>
    <w:bookmarkEnd w:id="186"/>
    <w:p>
      <w:pPr>
        <w:spacing w:after="0" w:line="276" w:lineRule="auto"/>
        <w:rPr>
          <w:sz w:val="20"/>
          <w:szCs w:val="20"/>
          <w:color w:val="auto"/>
        </w:rPr>
      </w:pPr>
      <w:r>
        <w:rPr>
          <w:rFonts w:ascii="Times New Roman" w:cs="Times New Roman" w:eastAsia="Times New Roman" w:hAnsi="Times New Roman"/>
          <w:sz w:val="18"/>
          <w:szCs w:val="18"/>
          <w:color w:val="auto"/>
        </w:rPr>
        <w:t>sole discretion, may be reasonably inferred or implied, in any manner whatsoever, including without limitation, press releases, marketing materials, or advertisements.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SUBLEASE – SIGNATURES FOLLOW]</w:t>
      </w:r>
    </w:p>
    <w:p>
      <w:pPr>
        <w:sectPr>
          <w:pgSz w:w="11900" w:h="16838" w:orient="portrait"/>
          <w:cols w:equalWidth="0" w:num="1">
            <w:col w:w="11240"/>
          </w:cols>
          <w:pgMar w:left="320" w:top="139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color w:val="auto"/>
        </w:rPr>
        <w:t>IN WITNESS WHEREOF, the parties hereto have hereunto set their hand to this Sublease on the date first above written.</w:t>
      </w:r>
    </w:p>
    <w:p>
      <w:pPr>
        <w:sectPr>
          <w:pgSz w:w="11900" w:h="16838" w:orient="portrait"/>
          <w:cols w:equalWidth="0" w:num="1">
            <w:col w:w="9499"/>
          </w:cols>
          <w:pgMar w:left="960" w:top="1399" w:right="1440" w:bottom="1440" w:gutter="0" w:footer="0" w:header="0"/>
        </w:sectPr>
      </w:pPr>
    </w:p>
    <w:p>
      <w:pPr>
        <w:spacing w:after="0" w:line="2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SUBLANDLORD:</w:t>
      </w:r>
    </w:p>
    <w:p>
      <w:pPr>
        <w:spacing w:after="0" w:line="200" w:lineRule="exact"/>
        <w:rPr>
          <w:sz w:val="20"/>
          <w:szCs w:val="20"/>
          <w:color w:val="auto"/>
        </w:rPr>
      </w:pPr>
    </w:p>
    <w:p>
      <w:pPr>
        <w:spacing w:after="0" w:line="2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CBRE, Inc.,</w:t>
      </w:r>
    </w:p>
    <w:p>
      <w:pPr>
        <w:spacing w:after="0" w:line="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 /s/ Chandra Dhandapani__________</w:t>
      </w:r>
    </w:p>
    <w:p>
      <w:pPr>
        <w:spacing w:after="0" w:line="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 Chandra Dhandapani___________</w:t>
      </w:r>
    </w:p>
    <w:p>
      <w:pPr>
        <w:spacing w:after="0" w:line="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Its: CAO___________________________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SUBTENANT:</w:t>
      </w:r>
    </w:p>
    <w:p>
      <w:pPr>
        <w:spacing w:after="0" w:line="200" w:lineRule="exact"/>
        <w:rPr>
          <w:sz w:val="20"/>
          <w:szCs w:val="20"/>
          <w:color w:val="auto"/>
        </w:rPr>
      </w:pPr>
    </w:p>
    <w:p>
      <w:pPr>
        <w:spacing w:after="0" w:line="24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 /s/ Marcio Souza_______________</w:t>
      </w:r>
    </w:p>
    <w:p>
      <w:pPr>
        <w:spacing w:after="0" w:line="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 Marcio Souza________________</w:t>
      </w:r>
    </w:p>
    <w:p>
      <w:pPr>
        <w:spacing w:after="0" w:line="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Its: CEO__________________________</w:t>
      </w:r>
    </w:p>
    <w:p>
      <w:pPr>
        <w:sectPr>
          <w:pgSz w:w="11900" w:h="16838" w:orient="portrait"/>
          <w:cols w:equalWidth="0" w:num="1">
            <w:col w:w="9499"/>
          </w:cols>
          <w:pgMar w:left="960" w:top="1399" w:right="1440" w:bottom="1440" w:gutter="0" w:footer="0" w:header="0"/>
          <w:type w:val="continuous"/>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MASTER LEASE</w:t>
      </w:r>
    </w:p>
    <w:p>
      <w:pPr>
        <w:sectPr>
          <w:pgSz w:w="11900" w:h="16838" w:orient="portrait"/>
          <w:cols w:equalWidth="0" w:num="1">
            <w:col w:w="9019"/>
          </w:cols>
          <w:pgMar w:left="1440" w:top="1397" w:right="1440"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7"/>
          <w:szCs w:val="17"/>
          <w:b w:val="1"/>
          <w:bCs w:val="1"/>
          <w:color w:val="auto"/>
        </w:rPr>
        <w:t>EXHIBIT “B”</w:t>
      </w:r>
    </w:p>
    <w:p>
      <w:pPr>
        <w:sectPr>
          <w:pgSz w:w="11900" w:h="16838" w:orient="portrait"/>
          <w:cols w:equalWidth="0" w:num="1">
            <w:col w:w="9019"/>
          </w:cols>
          <w:pgMar w:left="1440" w:top="1397" w:right="1440"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PREMISES</w:t>
      </w:r>
    </w:p>
    <w:p>
      <w:pPr>
        <w:sectPr>
          <w:pgSz w:w="11900" w:h="16838" w:orient="portrait"/>
          <w:cols w:equalWidth="0" w:num="1">
            <w:col w:w="9019"/>
          </w:cols>
          <w:pgMar w:left="1440" w:top="1397" w:right="1440" w:bottom="1440" w:gutter="0" w:footer="0" w:header="0"/>
          <w:type w:val="continuous"/>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LIST OF FF&amp;E</w:t>
      </w:r>
    </w:p>
    <w:p>
      <w:pPr>
        <w:sectPr>
          <w:pgSz w:w="11900" w:h="16838" w:orient="portrait"/>
          <w:cols w:equalWidth="0" w:num="1">
            <w:col w:w="9019"/>
          </w:cols>
          <w:pgMar w:left="1440" w:top="1397" w:right="1440"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“D”</w:t>
      </w:r>
    </w:p>
    <w:p>
      <w:pPr>
        <w:sectPr>
          <w:pgSz w:w="11900" w:h="16838" w:orient="portrait"/>
          <w:cols w:equalWidth="0" w:num="1">
            <w:col w:w="9019"/>
          </w:cols>
          <w:pgMar w:left="1440" w:top="1397"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INSURANCE</w:t>
      </w:r>
    </w:p>
    <w:p>
      <w:pPr>
        <w:sectPr>
          <w:pgSz w:w="11900" w:h="16838" w:orient="portrait"/>
          <w:cols w:equalWidth="0" w:num="1">
            <w:col w:w="9019"/>
          </w:cols>
          <w:pgMar w:left="1440" w:top="1397" w:right="1440" w:bottom="1440" w:gutter="0" w:footer="0" w:header="0"/>
          <w:type w:val="continuous"/>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LETTER OF CREDIT</w:t>
      </w:r>
    </w:p>
    <w:p>
      <w:pPr>
        <w:sectPr>
          <w:pgSz w:w="11900" w:h="16838" w:orient="portrait"/>
          <w:cols w:equalWidth="0" w:num="1">
            <w:col w:w="9019"/>
          </w:cols>
          <w:pgMar w:left="1440" w:top="1397" w:right="1440"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AMENDMENT TO SUBLEASE AND FIFTH AMENDMENT TO LEASE WITH LANDLORD CONSENT</w:t>
      </w:r>
    </w:p>
    <w:p>
      <w:pPr>
        <w:spacing w:after="0" w:line="200" w:lineRule="exact"/>
        <w:rPr>
          <w:sz w:val="20"/>
          <w:szCs w:val="20"/>
          <w:color w:val="auto"/>
        </w:rPr>
      </w:pPr>
    </w:p>
    <w:p>
      <w:pPr>
        <w:spacing w:after="0" w:line="285" w:lineRule="exact"/>
        <w:rPr>
          <w:sz w:val="20"/>
          <w:szCs w:val="20"/>
          <w:color w:val="auto"/>
        </w:rPr>
      </w:pPr>
    </w:p>
    <w:p>
      <w:pPr>
        <w:jc w:val="both"/>
        <w:ind w:firstLine="639"/>
        <w:spacing w:after="0" w:line="226"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SUBLEASE </w:t>
      </w:r>
      <w:r>
        <w:rPr>
          <w:rFonts w:ascii="Times New Roman" w:cs="Times New Roman" w:eastAsia="Times New Roman" w:hAnsi="Times New Roman"/>
          <w:sz w:val="18"/>
          <w:szCs w:val="18"/>
          <w:color w:val="auto"/>
        </w:rPr>
        <w:t>(the “First Sublease Amendment”) is made and entered into this 23rd day of September,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Sublease Amendment Effective Date”) by and between CBRE, Inc., a Delaware corporation (“Sublandlord”), and Praxis Precision Medicines, Inc., a Delaware corporation (“Subtenant”). This First Amendment to Sublease shall amend the sublease dated May 27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2021 between Sublandlord and Subtenant for the Master Premises known as approximately 25,445 rentable square feet of office space constituting the entire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located in the building commonly known as 99 High Street in Boston, Massachusetts.</w:t>
      </w:r>
    </w:p>
    <w:p>
      <w:pPr>
        <w:spacing w:after="0" w:line="2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4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NOW, THEREFORE, in consideration of the recitals set forth above, the agreements set forth below and other good and valuable consideration, the receipt and sufficiency of which are hereby acknowledged, Sublandlord and Subtenant hereby agree as follows:</w:t>
      </w:r>
    </w:p>
    <w:p>
      <w:pPr>
        <w:spacing w:after="0" w:line="190" w:lineRule="exact"/>
        <w:rPr>
          <w:sz w:val="20"/>
          <w:szCs w:val="20"/>
          <w:color w:val="auto"/>
        </w:rPr>
      </w:pPr>
    </w:p>
    <w:p>
      <w:pPr>
        <w:ind w:left="640" w:right="160" w:hanging="314"/>
        <w:spacing w:after="0" w:line="276" w:lineRule="auto"/>
        <w:tabs>
          <w:tab w:leader="none" w:pos="6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Sublease is hereby extended for one (1) month (the “Sublease Extension Term”) commencing on February 1, 2026 (the “Sublease Extension Commencement Date”) and terminating on February 28, 2026.</w:t>
      </w:r>
    </w:p>
    <w:p>
      <w:pPr>
        <w:spacing w:after="0" w:line="189" w:lineRule="exact"/>
        <w:rPr>
          <w:rFonts w:ascii="Times New Roman" w:cs="Times New Roman" w:eastAsia="Times New Roman" w:hAnsi="Times New Roman"/>
          <w:sz w:val="18"/>
          <w:szCs w:val="18"/>
          <w:color w:val="auto"/>
        </w:rPr>
      </w:pPr>
    </w:p>
    <w:p>
      <w:pPr>
        <w:jc w:val="both"/>
        <w:ind w:left="640" w:hanging="314"/>
        <w:spacing w:after="0" w:line="256" w:lineRule="auto"/>
        <w:tabs>
          <w:tab w:leader="none" w:pos="6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the Sublease Extension Term shall be on the same terms and conditions of the Sublease. Sublandlord and Subtenant acknowledge that Subtenant has accepted the Premises in “as-is” condition without representation or warranty from Sublandlord, and that Subtenant is currently occupying and in possession thereof. Sublandlord shall not be obligated to perform or pay for any work to prepare the Premises for Subtenant’s continued occupancy for the Sublease Extension Term.</w:t>
      </w:r>
    </w:p>
    <w:p>
      <w:pPr>
        <w:spacing w:after="0" w:line="208" w:lineRule="exact"/>
        <w:rPr>
          <w:rFonts w:ascii="Times New Roman" w:cs="Times New Roman" w:eastAsia="Times New Roman" w:hAnsi="Times New Roman"/>
          <w:sz w:val="18"/>
          <w:szCs w:val="18"/>
          <w:color w:val="auto"/>
        </w:rPr>
      </w:pPr>
    </w:p>
    <w:p>
      <w:pPr>
        <w:ind w:left="640" w:right="220" w:hanging="314"/>
        <w:spacing w:after="0" w:line="276" w:lineRule="auto"/>
        <w:tabs>
          <w:tab w:leader="none" w:pos="6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Subtenant agrees to pay $112,382.08 in Base Rent for the Sublease Extension Term along with any other charges, fees, operating expenses, or any other costs Subtenant would be liable for per the Sublease.</w:t>
      </w:r>
    </w:p>
    <w:p>
      <w:pPr>
        <w:spacing w:after="0" w:line="18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as a sealed instrument as of the First Sublease Amendment Effective Date set forth above.</w:t>
      </w:r>
    </w:p>
    <w:p>
      <w:pPr>
        <w:spacing w:after="0" w:line="243"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SUBLANDLORD:</w:t>
      </w:r>
    </w:p>
    <w:p>
      <w:pPr>
        <w:spacing w:after="0" w:line="24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CBRE, INC., a Delaware corporation</w:t>
      </w:r>
    </w:p>
    <w:p>
      <w:pPr>
        <w:spacing w:after="0" w:line="24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Adam Weers</w:t>
      </w:r>
    </w:p>
    <w:p>
      <w:pPr>
        <w:spacing w:after="0" w:line="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Adam Weers</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u w:val="single" w:color="auto"/>
          <w:color w:val="auto"/>
        </w:rPr>
        <w:t>SVP Corporate Real Estate &amp; Procurement</w:t>
      </w:r>
    </w:p>
    <w:p>
      <w:pPr>
        <w:spacing w:after="0" w:line="224"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SUBTENANT:</w:t>
      </w:r>
    </w:p>
    <w:p>
      <w:pPr>
        <w:spacing w:after="0" w:line="24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Praxis Precision Medicines, Inc., a Delaware corporation</w:t>
      </w:r>
    </w:p>
    <w:p>
      <w:pPr>
        <w:spacing w:after="0" w:line="24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Marcio Souza</w:t>
      </w:r>
    </w:p>
    <w:p>
      <w:pPr>
        <w:spacing w:after="0" w:line="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Marcio Souza</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-1424305</wp:posOffset>
            </wp:positionV>
            <wp:extent cx="10547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1054735" cy="8255"/>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-1289050</wp:posOffset>
            </wp:positionV>
            <wp:extent cx="920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92011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-292100</wp:posOffset>
            </wp:positionV>
            <wp:extent cx="11010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1101090" cy="8255"/>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-156845</wp:posOffset>
            </wp:positionV>
            <wp:extent cx="9671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96710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-21590</wp:posOffset>
            </wp:positionV>
            <wp:extent cx="12014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color w:val="auto"/>
        </w:rPr>
        <w:t>99 HIGH STREET OWNER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Synergy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Post Office Square, Suite 300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25, 2025</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High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200" w:lineRule="exact"/>
        <w:rPr>
          <w:sz w:val="20"/>
          <w:szCs w:val="20"/>
          <w:color w:val="auto"/>
        </w:rPr>
      </w:pPr>
    </w:p>
    <w:p>
      <w:pPr>
        <w:spacing w:after="0" w:line="26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99 High Street, Boston, Massachusetts/License to Occupy Area on 30</w:t>
      </w:r>
      <w:r>
        <w:rPr>
          <w:rFonts w:ascii="Times New Roman" w:cs="Times New Roman" w:eastAsia="Times New Roman" w:hAnsi="Times New Roman"/>
          <w:sz w:val="22"/>
          <w:szCs w:val="22"/>
          <w:u w:val="single" w:color="auto"/>
          <w:color w:val="auto"/>
          <w:vertAlign w:val="superscript"/>
        </w:rPr>
        <w:t>th</w:t>
      </w:r>
      <w:r>
        <w:rPr>
          <w:rFonts w:ascii="Times New Roman" w:cs="Times New Roman" w:eastAsia="Times New Roman" w:hAnsi="Times New Roman"/>
          <w:sz w:val="17"/>
          <w:szCs w:val="17"/>
          <w:u w:val="single" w:color="auto"/>
          <w:color w:val="auto"/>
        </w:rPr>
        <w:t xml:space="preserve"> Floor</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jc w:val="both"/>
        <w:ind w:firstLine="1278"/>
        <w:spacing w:after="0" w:line="236" w:lineRule="auto"/>
        <w:rPr>
          <w:sz w:val="20"/>
          <w:szCs w:val="20"/>
          <w:color w:val="auto"/>
        </w:rPr>
      </w:pPr>
      <w:r>
        <w:rPr>
          <w:rFonts w:ascii="Times New Roman" w:cs="Times New Roman" w:eastAsia="Times New Roman" w:hAnsi="Times New Roman"/>
          <w:sz w:val="18"/>
          <w:szCs w:val="18"/>
          <w:color w:val="auto"/>
        </w:rPr>
        <w:t>99 HIGH STREET OWNER LLC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 Delaware limited liability company, has agreed to grant to PRAXIS PRECISION MEDICINES, INC.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a Delaware corporation, a license to use and occupy the Licensed Area (as hereinafter defined) located on the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of the building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commonly known as 99 High Street in Boston, Massachusetts (collectively, together with the land on which the Building is located,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subject to and in accordance with the provisions of this agreement (this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Accordingly, for $10.00 and other good and valuable consideration, the receipt, sufficiency, and delivery of which are acknowledged,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and Licensee hereby agree as follows:</w:t>
      </w:r>
    </w:p>
    <w:p>
      <w:pPr>
        <w:spacing w:after="0" w:line="211" w:lineRule="exact"/>
        <w:rPr>
          <w:sz w:val="20"/>
          <w:szCs w:val="20"/>
          <w:color w:val="auto"/>
        </w:rPr>
      </w:pPr>
    </w:p>
    <w:p>
      <w:pPr>
        <w:jc w:val="both"/>
        <w:ind w:firstLine="645"/>
        <w:spacing w:after="0" w:line="202" w:lineRule="auto"/>
        <w:tabs>
          <w:tab w:leader="none" w:pos="127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Licensed Area</w:t>
      </w:r>
      <w:r>
        <w:rPr>
          <w:rFonts w:ascii="Times New Roman" w:cs="Times New Roman" w:eastAsia="Times New Roman" w:hAnsi="Times New Roman"/>
          <w:sz w:val="18"/>
          <w:szCs w:val="18"/>
          <w:color w:val="auto"/>
        </w:rPr>
        <w:t>. Licensor hereby grants to Licensee a license to enter into and use the “</w:t>
      </w:r>
      <w:r>
        <w:rPr>
          <w:rFonts w:ascii="Times New Roman" w:cs="Times New Roman" w:eastAsia="Times New Roman" w:hAnsi="Times New Roman"/>
          <w:sz w:val="18"/>
          <w:szCs w:val="18"/>
          <w:b w:val="1"/>
          <w:bCs w:val="1"/>
          <w:color w:val="auto"/>
        </w:rPr>
        <w:t>Licensed Area</w:t>
      </w:r>
      <w:r>
        <w:rPr>
          <w:rFonts w:ascii="Times New Roman" w:cs="Times New Roman" w:eastAsia="Times New Roman" w:hAnsi="Times New Roman"/>
          <w:sz w:val="18"/>
          <w:szCs w:val="18"/>
          <w:color w:val="auto"/>
        </w:rPr>
        <w:t>” consisting of approximately 26,104 rentable square feet on the thirtieth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of the Building, subject to and in accordance with the terms and conditions of this License Agreement. The Licensed Area is shown on the plan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incorporated herein by this reference. As an appurtenance to the Licensed Area, Licensee shall have the non-exclusive rights to use the areas designated by Licensor from time-to-time as common areas of the Building, in common with others and subject to such rules and regulations with respect thereto as may be adopted by Licensor from time-to-time.</w:t>
      </w:r>
    </w:p>
    <w:p>
      <w:pPr>
        <w:spacing w:after="0" w:line="183" w:lineRule="exact"/>
        <w:rPr>
          <w:rFonts w:ascii="Times New Roman" w:cs="Times New Roman" w:eastAsia="Times New Roman" w:hAnsi="Times New Roman"/>
          <w:sz w:val="21"/>
          <w:szCs w:val="21"/>
          <w:color w:val="auto"/>
        </w:rPr>
      </w:pPr>
    </w:p>
    <w:p>
      <w:pPr>
        <w:ind w:firstLine="645"/>
        <w:spacing w:after="0" w:line="225" w:lineRule="auto"/>
        <w:tabs>
          <w:tab w:leader="none" w:pos="127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License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March 1, 2026 (the “</w:t>
      </w:r>
      <w:r>
        <w:rPr>
          <w:rFonts w:ascii="Times New Roman" w:cs="Times New Roman" w:eastAsia="Times New Roman" w:hAnsi="Times New Roman"/>
          <w:sz w:val="18"/>
          <w:szCs w:val="18"/>
          <w:b w:val="1"/>
          <w:bCs w:val="1"/>
          <w:color w:val="auto"/>
        </w:rPr>
        <w:t>License Commencement Date</w:t>
      </w:r>
      <w:r>
        <w:rPr>
          <w:rFonts w:ascii="Times New Roman" w:cs="Times New Roman" w:eastAsia="Times New Roman" w:hAnsi="Times New Roman"/>
          <w:sz w:val="18"/>
          <w:szCs w:val="18"/>
          <w:color w:val="auto"/>
        </w:rPr>
        <w:t>”) and shall expire on March 31, 2027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unless sooner terminated.</w:t>
      </w:r>
    </w:p>
    <w:p>
      <w:pPr>
        <w:spacing w:after="0" w:line="184" w:lineRule="exact"/>
        <w:rPr>
          <w:rFonts w:ascii="Times New Roman" w:cs="Times New Roman" w:eastAsia="Times New Roman" w:hAnsi="Times New Roman"/>
          <w:sz w:val="21"/>
          <w:szCs w:val="21"/>
          <w:color w:val="auto"/>
        </w:rPr>
      </w:pPr>
    </w:p>
    <w:p>
      <w:pPr>
        <w:ind w:left="1280" w:hanging="635"/>
        <w:spacing w:after="0"/>
        <w:tabs>
          <w:tab w:leader="none" w:pos="128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License Fee.</w:t>
      </w:r>
    </w:p>
    <w:p>
      <w:pPr>
        <w:spacing w:after="0" w:line="193" w:lineRule="exact"/>
        <w:rPr>
          <w:rFonts w:ascii="Times New Roman" w:cs="Times New Roman" w:eastAsia="Times New Roman" w:hAnsi="Times New Roman"/>
          <w:sz w:val="21"/>
          <w:szCs w:val="21"/>
          <w:color w:val="auto"/>
        </w:rPr>
      </w:pPr>
    </w:p>
    <w:p>
      <w:pPr>
        <w:jc w:val="both"/>
        <w:ind w:firstLine="1284"/>
        <w:spacing w:after="0" w:line="202" w:lineRule="auto"/>
        <w:tabs>
          <w:tab w:leader="none" w:pos="1914"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Licensee shall pay to Licensor for the use of the Licensed Area, in lawful money of the United States, (i) a license fee (the “</w:t>
      </w:r>
      <w:r>
        <w:rPr>
          <w:rFonts w:ascii="Times New Roman" w:cs="Times New Roman" w:eastAsia="Times New Roman" w:hAnsi="Times New Roman"/>
          <w:sz w:val="18"/>
          <w:szCs w:val="18"/>
          <w:b w:val="1"/>
          <w:bCs w:val="1"/>
          <w:color w:val="auto"/>
        </w:rPr>
        <w:t>License Fee</w:t>
      </w:r>
      <w:r>
        <w:rPr>
          <w:rFonts w:ascii="Times New Roman" w:cs="Times New Roman" w:eastAsia="Times New Roman" w:hAnsi="Times New Roman"/>
          <w:sz w:val="18"/>
          <w:szCs w:val="18"/>
          <w:color w:val="auto"/>
        </w:rPr>
        <w:t>”) payable at the rate of $1,487,928.00 per annum (i.e., $57.00 per rentable square foot per annum), payable in equal monthly payments of $123,994.00, commencing on April 1, 2026 and thereafter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of each succeeding calendar month during the Term, (ii) Licensee’s Proportionate Share (as hereinafter defined) of the Operating Expenses Excess (as hereinafter defined) and the Taxes Excess (as hereinafter defined), and (iii) all other amounts payable under this License Agreement at the times and in the manner set forth herein. Licensee shall not be obligated to pay the License Fee for the period of time between March 1, 2026 and March 31, 2026.</w:t>
      </w:r>
    </w:p>
    <w:p>
      <w:pPr>
        <w:spacing w:after="0" w:line="181" w:lineRule="exact"/>
        <w:rPr>
          <w:rFonts w:ascii="Times New Roman" w:cs="Times New Roman" w:eastAsia="Times New Roman" w:hAnsi="Times New Roman"/>
          <w:sz w:val="21"/>
          <w:szCs w:val="21"/>
          <w:color w:val="auto"/>
        </w:rPr>
      </w:pPr>
    </w:p>
    <w:p>
      <w:pPr>
        <w:jc w:val="both"/>
        <w:ind w:firstLine="1284"/>
        <w:spacing w:after="0" w:line="221" w:lineRule="auto"/>
        <w:tabs>
          <w:tab w:leader="none" w:pos="1912"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All payments required to be made by Licensee under this License Agreement shall be made without any setoff, deduction, or counterclaim whatsoever and shall be made payable to and delivered to Licensor at Licensor’s address above or such address as Licensor may designate in writing.</w:t>
      </w:r>
    </w:p>
    <w:p>
      <w:pPr>
        <w:sectPr>
          <w:pgSz w:w="11900" w:h="16838" w:orient="portrait"/>
          <w:cols w:equalWidth="0" w:num="1">
            <w:col w:w="11240"/>
          </w:cols>
          <w:pgMar w:left="320" w:top="1399" w:right="339" w:bottom="1440" w:gutter="0" w:footer="0" w:header="0"/>
        </w:sectPr>
      </w:pPr>
    </w:p>
    <w:bookmarkStart w:id="195" w:name="page196"/>
    <w:bookmarkEnd w:id="195"/>
    <w:p>
      <w:pPr>
        <w:ind w:firstLine="1284"/>
        <w:spacing w:after="0" w:line="223" w:lineRule="auto"/>
        <w:tabs>
          <w:tab w:leader="none" w:pos="1914"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the Term commences or ends other than on the last day of a calendar month, then the License Fee for the first or last fractional month of the Term, as applicable, shall be prorated on the basis of a 30-day month.</w:t>
      </w:r>
    </w:p>
    <w:p>
      <w:pPr>
        <w:spacing w:after="0" w:line="182" w:lineRule="exact"/>
        <w:rPr>
          <w:rFonts w:ascii="Times New Roman" w:cs="Times New Roman" w:eastAsia="Times New Roman" w:hAnsi="Times New Roman"/>
          <w:sz w:val="21"/>
          <w:szCs w:val="21"/>
          <w:color w:val="auto"/>
        </w:rPr>
      </w:pPr>
    </w:p>
    <w:p>
      <w:pPr>
        <w:jc w:val="both"/>
        <w:ind w:firstLine="1284"/>
        <w:spacing w:after="0" w:line="213" w:lineRule="auto"/>
        <w:tabs>
          <w:tab w:leader="none" w:pos="1912"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Each installment of the License Fee and every other payment due hereunder from Licensee which is not paid when the same is due and payable shall bear interest from the date due at a per annum rate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equal to 2% percent in excess of the Base Rate (as hereinafter defined). However, such interest shall only be payable on any such payment if Licensee shall fail to pay the same within five (5) days after the date the same is due hereunder (with interest accruing from the date due until the date paid). “</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shall mean the base rate (or its equivalent) of interest announced publicly from time to time by Bank of America, N.A. (or if Bank of America, N.A. ceases to exist, a money-center bank designated by Licensor in its reasonable discretion), but in no event in excess of the maximum rate of interest permitted by law.</w:t>
      </w:r>
    </w:p>
    <w:p>
      <w:pPr>
        <w:spacing w:after="0" w:line="185" w:lineRule="exact"/>
        <w:rPr>
          <w:rFonts w:ascii="Times New Roman" w:cs="Times New Roman" w:eastAsia="Times New Roman" w:hAnsi="Times New Roman"/>
          <w:sz w:val="21"/>
          <w:szCs w:val="21"/>
          <w:color w:val="auto"/>
        </w:rPr>
      </w:pPr>
    </w:p>
    <w:p>
      <w:pPr>
        <w:jc w:val="both"/>
        <w:ind w:firstLine="645"/>
        <w:spacing w:after="0" w:line="208" w:lineRule="auto"/>
        <w:tabs>
          <w:tab w:leader="none" w:pos="127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Operating Expenses and Real Estate Taxes.</w:t>
      </w:r>
      <w:r>
        <w:rPr>
          <w:rFonts w:ascii="Times New Roman" w:cs="Times New Roman" w:eastAsia="Times New Roman" w:hAnsi="Times New Roman"/>
          <w:sz w:val="18"/>
          <w:szCs w:val="18"/>
          <w:color w:val="auto"/>
        </w:rPr>
        <w:t xml:space="preserve"> If the Operating Expenses (defined below) for any calendar year during the Term exceed Base Operating Expenses (defined below), Licensee shall pay to Licensor, concurrent with each installment of the License Fee, an amount equal to Licensee’s Proportionate Share (defined below) of such excess (“</w:t>
      </w:r>
      <w:r>
        <w:rPr>
          <w:rFonts w:ascii="Times New Roman" w:cs="Times New Roman" w:eastAsia="Times New Roman" w:hAnsi="Times New Roman"/>
          <w:sz w:val="18"/>
          <w:szCs w:val="18"/>
          <w:b w:val="1"/>
          <w:bCs w:val="1"/>
          <w:color w:val="auto"/>
        </w:rPr>
        <w:t>Operating Expenses Excess</w:t>
      </w:r>
      <w:r>
        <w:rPr>
          <w:rFonts w:ascii="Times New Roman" w:cs="Times New Roman" w:eastAsia="Times New Roman" w:hAnsi="Times New Roman"/>
          <w:sz w:val="18"/>
          <w:szCs w:val="18"/>
          <w:color w:val="auto"/>
        </w:rPr>
        <w:t>”). If the Real Estate Taxes (defined below) for any tax fiscal year during the Term exceed Base Real Estate Taxes (defined below), Licensee shall pay to Licensor concurrent with each installment of the License Fee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an amount equal to Licensee’s Proportionate Share of such excess (“</w:t>
      </w:r>
      <w:r>
        <w:rPr>
          <w:rFonts w:ascii="Times New Roman" w:cs="Times New Roman" w:eastAsia="Times New Roman" w:hAnsi="Times New Roman"/>
          <w:sz w:val="18"/>
          <w:szCs w:val="18"/>
          <w:b w:val="1"/>
          <w:bCs w:val="1"/>
          <w:color w:val="auto"/>
        </w:rPr>
        <w:t>Taxes Excess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Licensee’s Proportionate Share</w:t>
      </w:r>
      <w:r>
        <w:rPr>
          <w:rFonts w:ascii="Times New Roman" w:cs="Times New Roman" w:eastAsia="Times New Roman" w:hAnsi="Times New Roman"/>
          <w:sz w:val="18"/>
          <w:szCs w:val="18"/>
          <w:color w:val="auto"/>
        </w:rPr>
        <w:t>” shall be 3.57%.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Operating Expenses</w:t>
      </w:r>
      <w:r>
        <w:rPr>
          <w:rFonts w:ascii="Times New Roman" w:cs="Times New Roman" w:eastAsia="Times New Roman" w:hAnsi="Times New Roman"/>
          <w:sz w:val="18"/>
          <w:szCs w:val="18"/>
          <w:color w:val="auto"/>
        </w:rPr>
        <w:t>” means all Operating Expenses incurred or payable by Licensor during the 2026 calendar year. “</w:t>
      </w:r>
      <w:r>
        <w:rPr>
          <w:rFonts w:ascii="Times New Roman" w:cs="Times New Roman" w:eastAsia="Times New Roman" w:hAnsi="Times New Roman"/>
          <w:sz w:val="18"/>
          <w:szCs w:val="18"/>
          <w:b w:val="1"/>
          <w:bCs w:val="1"/>
          <w:color w:val="auto"/>
        </w:rPr>
        <w:t>Base Real Estate Taxes</w:t>
      </w:r>
      <w:r>
        <w:rPr>
          <w:rFonts w:ascii="Times New Roman" w:cs="Times New Roman" w:eastAsia="Times New Roman" w:hAnsi="Times New Roman"/>
          <w:sz w:val="18"/>
          <w:szCs w:val="18"/>
          <w:color w:val="auto"/>
        </w:rPr>
        <w:t>” means all Real Estate Taxes incurred or payable by Licensor during the 2027 tax fiscal year (commencing on July 1, 2026 and expiring on June 30, 2027).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means all costs, expenses and obligations incurred or payable by Licensor in connection with the operation, ownership, management, repair or maintenance of the Building and the Property during or allocable to the Term. “</w:t>
      </w:r>
      <w:r>
        <w:rPr>
          <w:rFonts w:ascii="Times New Roman" w:cs="Times New Roman" w:eastAsia="Times New Roman" w:hAnsi="Times New Roman"/>
          <w:sz w:val="18"/>
          <w:szCs w:val="18"/>
          <w:b w:val="1"/>
          <w:bCs w:val="1"/>
          <w:color w:val="auto"/>
        </w:rPr>
        <w:t>Real Estate Taxes</w:t>
      </w:r>
      <w:r>
        <w:rPr>
          <w:rFonts w:ascii="Times New Roman" w:cs="Times New Roman" w:eastAsia="Times New Roman" w:hAnsi="Times New Roman"/>
          <w:sz w:val="18"/>
          <w:szCs w:val="18"/>
          <w:color w:val="auto"/>
        </w:rPr>
        <w:t>” means any form of assessment, license fee, license tax, business license fee, levy, charge, improvement bond, tax, water and sewer rents and charges, utilities and communications taxes and charges or similar or dissimilar imposition imposed by any authority having the direct power to tax, including any city, county, state or federal government, or any school, agricultural, lighting, drainage or other improvement or special assessment district thereof, or any other governmental charge, general and special, ordinary and extraordinary, foreseen and unforeseen, which may be assessed against any legal or equitable interest of Licensor in the Premises, the Building or the Property.</w:t>
      </w:r>
    </w:p>
    <w:p>
      <w:pPr>
        <w:spacing w:after="0" w:line="178" w:lineRule="exact"/>
        <w:rPr>
          <w:rFonts w:ascii="Times New Roman" w:cs="Times New Roman" w:eastAsia="Times New Roman" w:hAnsi="Times New Roman"/>
          <w:sz w:val="21"/>
          <w:szCs w:val="21"/>
          <w:color w:val="auto"/>
        </w:rPr>
      </w:pPr>
    </w:p>
    <w:p>
      <w:pPr>
        <w:ind w:left="1280" w:hanging="635"/>
        <w:spacing w:after="0"/>
        <w:tabs>
          <w:tab w:leader="none" w:pos="128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[Intentionally Deleted]</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21"/>
          <w:szCs w:val="21"/>
          <w:color w:val="auto"/>
        </w:rPr>
      </w:pPr>
    </w:p>
    <w:p>
      <w:pPr>
        <w:jc w:val="both"/>
        <w:ind w:firstLine="645"/>
        <w:spacing w:after="0" w:line="220" w:lineRule="auto"/>
        <w:tabs>
          <w:tab w:leader="none" w:pos="127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u w:val="single" w:color="auto"/>
          <w:color w:val="auto"/>
        </w:rPr>
        <w:t>Surrender of Licensed Area.</w:t>
      </w:r>
      <w:r>
        <w:rPr>
          <w:rFonts w:ascii="Times New Roman" w:cs="Times New Roman" w:eastAsia="Times New Roman" w:hAnsi="Times New Roman"/>
          <w:sz w:val="17"/>
          <w:szCs w:val="17"/>
          <w:color w:val="auto"/>
        </w:rPr>
        <w:t xml:space="preserve"> Upon the expiration or any earlier termination of the Term of this License Agreement, Licensee shall remove all personal property, furniture, fixtures and equipment, and all computer and phone cabling and wiring, from the Licensed Area, repair any damage caused by said removal, and surrender and yield-up the Licensed Area free and clear of all tenants and occupants, vacant, broom-clean and free of personal property, in the condition required pursuant to the Existing Sublease, reasonable wear and tear excepted, reasonable wear and tear and damage from casualty excepted. If Licensee retains possession of the Licensed Area after the termination or expiration of the Term, then Licensee shall, at Licensor’s election, become a tenant at sufferance (and not a tenant at will), such possession shall be subject to immediate termination by Licensor at any time, and all of the other terms and provisions of this License Agreement shall be applicable during such holdover period, except that in addition to any other rights or remedies Licensor may have hereunder or at law or in equity, for each day during which Licensee holds over in the Licensed Area after Area after the termination or expiration of the Term, Licensee shall pay to Licensor a holdover charge, as follows: (i) for each day during which Licensee holds over in the Licensed Area after the Expiration Date or earlier termination of this License Agreement, through and including the day which is thirty (30) days thereafter, a per diem holdover charge calculated at a rate equal to 125% of the daily License Fee payable under this License Agreement for the last full calendar month of the Term; and (ii) if Licensee holds over in the Licensed Area for more than thirty (30) days after the Expiration Date or earlier termination of this License Agreement, from and after the date which is thirty-one (31) days after the Expiration Date or earlier termination of this License Agreement, a per diem holdover charge calculated at a rate equal to 200% of the License Fee payable under this License Agreement for the last full calendar month of the Term. No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2"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over by Licensee, whether with or without consent of Licensor, shall operate to extend the Term of this License Agreement.</w:t>
      </w:r>
    </w:p>
    <w:p>
      <w:pPr>
        <w:spacing w:after="0" w:line="204" w:lineRule="exact"/>
        <w:rPr>
          <w:sz w:val="20"/>
          <w:szCs w:val="20"/>
          <w:color w:val="auto"/>
        </w:rPr>
      </w:pPr>
    </w:p>
    <w:p>
      <w:pPr>
        <w:jc w:val="both"/>
        <w:ind w:firstLine="645"/>
        <w:spacing w:after="0" w:line="229" w:lineRule="auto"/>
        <w:tabs>
          <w:tab w:leader="none" w:pos="127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u w:val="single" w:color="auto"/>
          <w:color w:val="auto"/>
        </w:rPr>
        <w:t>Delivery, Condition of Licensed Area</w:t>
      </w:r>
      <w:r>
        <w:rPr>
          <w:rFonts w:ascii="Times New Roman" w:cs="Times New Roman" w:eastAsia="Times New Roman" w:hAnsi="Times New Roman"/>
          <w:sz w:val="17"/>
          <w:szCs w:val="17"/>
          <w:color w:val="auto"/>
        </w:rPr>
        <w:t>. Licensee currently occupies the Licensed Area pursuant to a sublease agreement (the “</w:t>
      </w:r>
      <w:r>
        <w:rPr>
          <w:rFonts w:ascii="Times New Roman" w:cs="Times New Roman" w:eastAsia="Times New Roman" w:hAnsi="Times New Roman"/>
          <w:sz w:val="17"/>
          <w:szCs w:val="17"/>
          <w:b w:val="1"/>
          <w:bCs w:val="1"/>
          <w:color w:val="auto"/>
        </w:rPr>
        <w:t>Existing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Sublease</w:t>
      </w:r>
      <w:r>
        <w:rPr>
          <w:rFonts w:ascii="Times New Roman" w:cs="Times New Roman" w:eastAsia="Times New Roman" w:hAnsi="Times New Roman"/>
          <w:sz w:val="17"/>
          <w:szCs w:val="17"/>
          <w:color w:val="auto"/>
        </w:rPr>
        <w:t>”). Licensee is fully familiar with and has reviewed and inspected the Licensed Area. The Licensed Area shall be delivered to Licensee,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Licensee agrees to accept the Licensed Area, in its “as is,” “where is” and “with all faults” condition as of the date of delivery thereof. Licensor does not have any obligation to perform any work or alterations, to provide any allowances, or otherwise to prepare the Licensed Area for Licensee’s use and occupancy.</w:t>
      </w:r>
    </w:p>
    <w:p>
      <w:pPr>
        <w:spacing w:after="0" w:line="181" w:lineRule="exact"/>
        <w:rPr>
          <w:rFonts w:ascii="Times New Roman" w:cs="Times New Roman" w:eastAsia="Times New Roman" w:hAnsi="Times New Roman"/>
          <w:sz w:val="20"/>
          <w:szCs w:val="20"/>
          <w:color w:val="auto"/>
        </w:rPr>
      </w:pPr>
    </w:p>
    <w:p>
      <w:pPr>
        <w:jc w:val="both"/>
        <w:ind w:firstLine="645"/>
        <w:spacing w:after="0" w:line="212" w:lineRule="auto"/>
        <w:tabs>
          <w:tab w:leader="none" w:pos="1278"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Licensee shall not make or permit to be made any alterations, installations, improvements, additions or other physical changes (collectively,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in or about the Licensed Area without Licensor’s prior written consent in each instance, which consent will not be unreasonably withheld, conditioned, or delayed. Without limitation, prior to making any Alteration, Licensee shall submit detailed plans and specifications for such proposed Alteration to Licensor for its approval. Licensee, at its expense, shall discharge any lien or charge recorded or filed against the Building in connection with any work performed or claimed to have been performed by or on behalf of, or materials furnished or claimed to have been furnished to, Licensee, within ten (10) business days after Licensee’s receipt of notice thereof by payment, filing a lien bond, or otherwise in accordance with applicable Requirements (as hereinafter defined).</w:t>
      </w:r>
    </w:p>
    <w:p>
      <w:pPr>
        <w:spacing w:after="0" w:line="180" w:lineRule="exact"/>
        <w:rPr>
          <w:rFonts w:ascii="Times New Roman" w:cs="Times New Roman" w:eastAsia="Times New Roman" w:hAnsi="Times New Roman"/>
          <w:sz w:val="21"/>
          <w:szCs w:val="21"/>
          <w:color w:val="auto"/>
        </w:rPr>
      </w:pPr>
    </w:p>
    <w:p>
      <w:pPr>
        <w:jc w:val="both"/>
        <w:ind w:firstLine="645"/>
        <w:spacing w:after="0" w:line="221" w:lineRule="auto"/>
        <w:tabs>
          <w:tab w:leader="none" w:pos="1278"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Licensor shall have no liability or responsibility to Licensee, and Licensee shall have no claim against Licensor, for any damage or loss incurred by Licensee with respect to personal property located in the Licensed Area, except to the extent such damage or loss is caused by Licensor’s negligence or willful misconduct (subject, however, to the provisions of Section 13(b)).</w:t>
      </w:r>
    </w:p>
    <w:p>
      <w:pPr>
        <w:spacing w:after="0" w:line="181" w:lineRule="exact"/>
        <w:rPr>
          <w:rFonts w:ascii="Times New Roman" w:cs="Times New Roman" w:eastAsia="Times New Roman" w:hAnsi="Times New Roman"/>
          <w:sz w:val="21"/>
          <w:szCs w:val="21"/>
          <w:color w:val="auto"/>
        </w:rPr>
      </w:pPr>
    </w:p>
    <w:p>
      <w:pPr>
        <w:ind w:right="20" w:firstLine="645"/>
        <w:spacing w:after="0" w:line="223" w:lineRule="auto"/>
        <w:tabs>
          <w:tab w:leader="none" w:pos="1278"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 Licensee shall, at Licensee’s sole cost and expense, maintain and repair the Licensed Area, in at least the condition which exists on the License Commencement Date, customary wear and tear and damage from casualty excepted.</w:t>
      </w:r>
    </w:p>
    <w:p>
      <w:pPr>
        <w:spacing w:after="0" w:line="182" w:lineRule="exact"/>
        <w:rPr>
          <w:rFonts w:ascii="Times New Roman" w:cs="Times New Roman" w:eastAsia="Times New Roman" w:hAnsi="Times New Roman"/>
          <w:sz w:val="21"/>
          <w:szCs w:val="21"/>
          <w:color w:val="auto"/>
        </w:rPr>
      </w:pPr>
    </w:p>
    <w:p>
      <w:pPr>
        <w:ind w:firstLine="645"/>
        <w:spacing w:after="0" w:line="223" w:lineRule="auto"/>
        <w:tabs>
          <w:tab w:leader="none" w:pos="127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Use</w:t>
      </w:r>
      <w:r>
        <w:rPr>
          <w:rFonts w:ascii="Times New Roman" w:cs="Times New Roman" w:eastAsia="Times New Roman" w:hAnsi="Times New Roman"/>
          <w:sz w:val="18"/>
          <w:szCs w:val="18"/>
          <w:color w:val="auto"/>
        </w:rPr>
        <w:t>. Licensee may use the Licensed Area for the operation of first-class business offices consistent with the first-class standards of the Building, and for no other purpose.</w:t>
      </w:r>
    </w:p>
    <w:p>
      <w:pPr>
        <w:spacing w:after="0" w:line="160" w:lineRule="exact"/>
        <w:rPr>
          <w:rFonts w:ascii="Times New Roman" w:cs="Times New Roman" w:eastAsia="Times New Roman" w:hAnsi="Times New Roman"/>
          <w:sz w:val="21"/>
          <w:szCs w:val="21"/>
          <w:color w:val="auto"/>
        </w:rPr>
      </w:pPr>
    </w:p>
    <w:p>
      <w:pPr>
        <w:ind w:left="1280" w:hanging="635"/>
        <w:spacing w:after="0"/>
        <w:tabs>
          <w:tab w:leader="none" w:pos="128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Licensor and Licensor’s agents shall have the right, from time to time throughout the Term, to enter any portion of the Licensed</w:t>
      </w:r>
    </w:p>
    <w:p>
      <w:pPr>
        <w:jc w:val="both"/>
        <w:spacing w:after="0" w:line="210" w:lineRule="auto"/>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Area as follows: (i) at all reasonable times during normal business hours, on providing not less than twenty-four (24) hours prior notice to Licensee, which notice may be verbal or by email, to examine the Licensed Area, and to perform maintenance and repairs; (ii) at any time in case of emergency (when such prior notice shall not be required); and (iii) at all reasonable times during normal business hours, on providing not less than twenty-four (24) hours prior notice to Licensee, which notice may be verbal or by email, to show the Licensed Area to prospective tenants or occupants; provided, however, during the initial seven (7) months of the Term, such access to show the Licensed Area to prospective tenants or occupants shall be subject to the prior consent of Licensee (which consent will not be unreasonably withheld, conditioned, or delayed).</w:t>
      </w:r>
    </w:p>
    <w:p>
      <w:pPr>
        <w:spacing w:after="0" w:line="197" w:lineRule="exact"/>
        <w:rPr>
          <w:rFonts w:ascii="Times New Roman" w:cs="Times New Roman" w:eastAsia="Times New Roman" w:hAnsi="Times New Roman"/>
          <w:sz w:val="21"/>
          <w:szCs w:val="21"/>
          <w:color w:val="auto"/>
        </w:rPr>
      </w:pPr>
    </w:p>
    <w:p>
      <w:pPr>
        <w:jc w:val="both"/>
        <w:ind w:firstLine="645"/>
        <w:spacing w:after="0" w:line="216" w:lineRule="auto"/>
        <w:tabs>
          <w:tab w:leader="none" w:pos="1278"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In connection with the use and/or occupancy of the Licensed Area, Licensee and its agents, representatives, contractors and all those acting by, through and under Licensee shall comply with all applicable governmental laws, rules, orders, ordinances, regulations, and codes applicable to the use and/or occupancy of the Licensed Area (collectively, “</w:t>
      </w:r>
      <w:r>
        <w:rPr>
          <w:rFonts w:ascii="Times New Roman" w:cs="Times New Roman" w:eastAsia="Times New Roman" w:hAnsi="Times New Roman"/>
          <w:sz w:val="18"/>
          <w:szCs w:val="18"/>
          <w:b w:val="1"/>
          <w:bCs w:val="1"/>
          <w:color w:val="auto"/>
        </w:rPr>
        <w:t>Requirements</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21"/>
          <w:szCs w:val="21"/>
          <w:color w:val="auto"/>
        </w:rPr>
      </w:pPr>
    </w:p>
    <w:p>
      <w:pPr>
        <w:ind w:left="1280" w:hanging="635"/>
        <w:spacing w:after="0"/>
        <w:tabs>
          <w:tab w:leader="none" w:pos="128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21"/>
          <w:szCs w:val="21"/>
          <w:color w:val="auto"/>
        </w:rPr>
      </w:pPr>
    </w:p>
    <w:p>
      <w:pPr>
        <w:jc w:val="both"/>
        <w:ind w:firstLine="1284"/>
        <w:spacing w:after="0" w:line="222" w:lineRule="auto"/>
        <w:tabs>
          <w:tab w:leader="none" w:pos="1914"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Licensor shall provide heating, ventilation and air conditioning (“</w:t>
      </w:r>
      <w:r>
        <w:rPr>
          <w:rFonts w:ascii="Times New Roman" w:cs="Times New Roman" w:eastAsia="Times New Roman" w:hAnsi="Times New Roman"/>
          <w:sz w:val="18"/>
          <w:szCs w:val="18"/>
          <w:b w:val="1"/>
          <w:bCs w:val="1"/>
          <w:color w:val="auto"/>
        </w:rPr>
        <w:t>HVAC</w:t>
      </w:r>
      <w:r>
        <w:rPr>
          <w:rFonts w:ascii="Times New Roman" w:cs="Times New Roman" w:eastAsia="Times New Roman" w:hAnsi="Times New Roman"/>
          <w:sz w:val="18"/>
          <w:szCs w:val="18"/>
          <w:color w:val="auto"/>
        </w:rPr>
        <w:t>”) service from 8:00 a.m. to 6:00 p.m. on weekdays (except for holidays), and from 8:00 a.m. to 1:00 p.m. on Saturdays, consistent with the level of service currently provided by Licensor for the Building. If Licensor furnishes HVAC service during overtime periods, then Licensee shall pay to Licensee the then-applicable overtime HVAC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86"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t>established by Licensor from time-to-time. Licensee shall pay to Licensor all such overtime HVAC charges on a timely basis, and in all events within thirty</w:t>
      </w:r>
    </w:p>
    <w:p>
      <w:pPr>
        <w:ind w:left="340" w:hanging="334"/>
        <w:spacing w:after="0"/>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delivery of a bill therefor.</w:t>
      </w:r>
    </w:p>
    <w:p>
      <w:pPr>
        <w:spacing w:after="0" w:line="198" w:lineRule="exact"/>
        <w:rPr>
          <w:rFonts w:ascii="Times New Roman" w:cs="Times New Roman" w:eastAsia="Times New Roman" w:hAnsi="Times New Roman"/>
          <w:sz w:val="18"/>
          <w:szCs w:val="18"/>
          <w:color w:val="auto"/>
        </w:rPr>
      </w:pPr>
    </w:p>
    <w:p>
      <w:pPr>
        <w:jc w:val="both"/>
        <w:ind w:firstLine="1284"/>
        <w:spacing w:after="0" w:line="212" w:lineRule="auto"/>
        <w:tabs>
          <w:tab w:leader="none" w:pos="1912"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Licensee shall have the right to use the lights and electrical outlets presently existing in the Licensed Area. Licensor has installed a submeter to measure Licensee's consumption of electricity in the Licensed Area. Licensee shall pay to Licensor all charges and fees for such electricity on a timely basis, and in all events within thirty (30) days after delivery of a bill therefor. Licensee shall not use any electrical equipment which overloads such electrical installations.</w:t>
      </w:r>
    </w:p>
    <w:p>
      <w:pPr>
        <w:spacing w:after="0" w:line="196" w:lineRule="exact"/>
        <w:rPr>
          <w:rFonts w:ascii="Times New Roman" w:cs="Times New Roman" w:eastAsia="Times New Roman" w:hAnsi="Times New Roman"/>
          <w:sz w:val="21"/>
          <w:szCs w:val="21"/>
          <w:color w:val="auto"/>
        </w:rPr>
      </w:pPr>
    </w:p>
    <w:p>
      <w:pPr>
        <w:jc w:val="both"/>
        <w:ind w:firstLine="1284"/>
        <w:spacing w:after="0" w:line="216" w:lineRule="auto"/>
        <w:tabs>
          <w:tab w:leader="none" w:pos="1914"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Licensor shall cause the Licensed Area to be cleaned and for trash to be removed from the Licensed Area, in accordance with the usual practices of Licensor for the Building. Licensor’s cleaning contractor and its employees shall have access to the Licensed Area as required in order to perform such services.</w:t>
      </w:r>
    </w:p>
    <w:p>
      <w:pPr>
        <w:spacing w:after="0" w:line="182" w:lineRule="exact"/>
        <w:rPr>
          <w:rFonts w:ascii="Times New Roman" w:cs="Times New Roman" w:eastAsia="Times New Roman" w:hAnsi="Times New Roman"/>
          <w:sz w:val="21"/>
          <w:szCs w:val="21"/>
          <w:color w:val="auto"/>
        </w:rPr>
      </w:pPr>
    </w:p>
    <w:p>
      <w:pPr>
        <w:jc w:val="both"/>
        <w:ind w:firstLine="1284"/>
        <w:spacing w:after="0" w:line="221" w:lineRule="auto"/>
        <w:tabs>
          <w:tab w:leader="none" w:pos="1912"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Licensee will be responsible for the costs and expenses of all cable, internet, and WIFI services provided to the Licensed Area. If and to the extent such services are provided by Licensor, then Licensee shall pay to Licensor or the service provider, as applicable, all charges and fees for such cable, internet, and WIFI services, on a timely basis, and in all events within thirty (30) days after delivery of invoices for such charges.</w:t>
      </w:r>
    </w:p>
    <w:p>
      <w:pPr>
        <w:spacing w:after="0" w:line="181" w:lineRule="exact"/>
        <w:rPr>
          <w:rFonts w:ascii="Times New Roman" w:cs="Times New Roman" w:eastAsia="Times New Roman" w:hAnsi="Times New Roman"/>
          <w:sz w:val="21"/>
          <w:szCs w:val="21"/>
          <w:color w:val="auto"/>
        </w:rPr>
      </w:pPr>
    </w:p>
    <w:p>
      <w:pPr>
        <w:jc w:val="both"/>
        <w:ind w:firstLine="1284"/>
        <w:spacing w:after="0" w:line="208" w:lineRule="auto"/>
        <w:tabs>
          <w:tab w:leader="none" w:pos="1914"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Except as expressly set forth in this Section 12, Licensor shall have no obligation to supply any other services to the Licensed Area. Licensor shall not be liable in any way to Licensee for any failure, defect or interruption of, or change in the supply, character and/or quantity of, any services furnished to the Licensed Area for any reason, nor shall there be any allowance to Licensee for a diminution of value, nor shall the same constitute an actual or constructive eviction of Licensee, in whole or in part, or relieve Licensee from any of its obligations under this License, and no liability shall arise on the part of Licensor by reason of inconvenience, annoyance or injury to business. Licensor reserves the right to suspend or interrupt any services when necessary by reason of accident or emergency, or for repairs, additions, alterations, replacements or improvements which in Licensor’s judgment which are desirable or necessary to be made. Licensor shall use reasonable efforts to minimize interference with Licensee’s use and occupancy of the Licensed Area as a result of any such suspension or interruption of service. The exercise of any such right or the occurrence of any such failure by Licensor shall not constitute an actual or constructive eviction, in whole or in part, entitle Licensee to any compensation, abatement or diminution of obligations to timely pay the fees and charges for services provided to the Licensed Area pursuant to this Section 12, or relieve Licensee from any of its obligations under this License, or impose any liability upon Licensor or Licensor’s managing agent by reason of inconvenience to Licensee, or interruption of Licensee’s business, or otherwise. Licensor shall not be liable in any way to Licensee for any failure, defect or interruption of, or change in the supply, character and/or quantity of electric or water service furnished to the Licensed Area for any reason, excepting only to the extent caused by the negligence or willful misconduct of Licensor.</w:t>
      </w:r>
    </w:p>
    <w:p>
      <w:pPr>
        <w:spacing w:after="0" w:line="178" w:lineRule="exact"/>
        <w:rPr>
          <w:rFonts w:ascii="Times New Roman" w:cs="Times New Roman" w:eastAsia="Times New Roman" w:hAnsi="Times New Roman"/>
          <w:sz w:val="21"/>
          <w:szCs w:val="21"/>
          <w:color w:val="auto"/>
        </w:rPr>
      </w:pPr>
    </w:p>
    <w:p>
      <w:pPr>
        <w:ind w:left="1280" w:hanging="635"/>
        <w:spacing w:after="0"/>
        <w:tabs>
          <w:tab w:leader="none" w:pos="1280"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Insurance and Indemnity</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21"/>
          <w:szCs w:val="21"/>
          <w:color w:val="auto"/>
        </w:rPr>
      </w:pPr>
    </w:p>
    <w:p>
      <w:pPr>
        <w:jc w:val="both"/>
        <w:ind w:firstLine="1284"/>
        <w:spacing w:after="0" w:line="221" w:lineRule="auto"/>
        <w:tabs>
          <w:tab w:leader="none" w:pos="1914" w:val="left"/>
        </w:tabs>
        <w:numPr>
          <w:ilvl w:val="2"/>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Licensee, at its expense, shall obtain or cause to be obtained and maintained during the Term policies of commercial general public liability and property damage insurance, in such amounts and with such coverages as may be required by Licensor from time-to-time. Evidence of each renewal or replacement of each policy shall be delivered by Licensee to Licensor at least thirty (30) days prior to the expiration of such policy. All insurance required to be carried by Licensee pursuant to the terms of this License (i) shall contain a provision that (A) no act or omission of Licensee shall affect or limit the obligation of the insurance company to pay the amount of any loss sustained and (B) the policy shall not be cancellable and/or no material change in coverage shall be made thereto unless Licensor shall have received thirty (30) days’ prior notice of such cancellation or material change by certified mail, return receipt requested, and (ii) shall be effected under valid and enforceable policies issued by reputable and independent insurers permitted to do business in the Commonwealth of Massachusetts, and rated in Best’s Insurance Guide, or any successor thereto (or if there be none, an organization having a national reputation) as having a Best’s Rating of “A-” and a “Financial Size Category” of at least “X” or better, or if such ratings are not then in effect, the equivalent thereof or such other financial rating as Licensor may at any time consider appropriate. On or prior to the License Commencement Date, Licensee shall deliver to Licensor appropriate policies of insurance, including evidence of waivers of subrogation, required to be carried by Licensee pursuant to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72" w:right="339" w:bottom="1440" w:gutter="0" w:footer="0" w:header="0"/>
        </w:sectPr>
      </w:pPr>
    </w:p>
    <w:bookmarkStart w:id="198" w:name="page199"/>
    <w:bookmarkEnd w:id="198"/>
    <w:p>
      <w:pPr>
        <w:ind w:left="280" w:hanging="274"/>
        <w:spacing w:after="0"/>
        <w:tabs>
          <w:tab w:leader="none" w:pos="28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of each renewal or replacement of a policy shall be delivered by Licensee to Licensor at least ten (10) days prior to the expiration of such policy.</w:t>
      </w:r>
    </w:p>
    <w:p>
      <w:pPr>
        <w:spacing w:after="0" w:line="217" w:lineRule="exact"/>
        <w:rPr>
          <w:rFonts w:ascii="Times New Roman" w:cs="Times New Roman" w:eastAsia="Times New Roman" w:hAnsi="Times New Roman"/>
          <w:sz w:val="17"/>
          <w:szCs w:val="17"/>
          <w:color w:val="auto"/>
        </w:rPr>
      </w:pPr>
    </w:p>
    <w:p>
      <w:pPr>
        <w:jc w:val="both"/>
        <w:ind w:firstLine="1284"/>
        <w:spacing w:after="0" w:line="213" w:lineRule="auto"/>
        <w:tabs>
          <w:tab w:leader="none" w:pos="1912" w:val="left"/>
        </w:tabs>
        <w:numPr>
          <w:ilvl w:val="2"/>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Licensor and Licensee shall each procure an appropriate clause in or endorsement to any property insurance covering the Building and personal property, fixtures and equipment located therein, wherein the insurer waives subrogation and consents to a waiver of right of recovery. Licensor and Licensee agree not to make any claim against, or seek to recover from, the other for any loss or damage to its property or the property of others resulting from fire or other hazards, to the extent covered by the property insurance carried by that party. Licensee acknowledges that Licensor shall not carry insurance on, and shall not be responsible for any loss or damage to the furniture, fixtures or other personal property of Licensee or any loss suffered by Licensee due to interruption of Licensee’s business.</w:t>
      </w:r>
    </w:p>
    <w:p>
      <w:pPr>
        <w:spacing w:after="0" w:line="185" w:lineRule="exact"/>
        <w:rPr>
          <w:rFonts w:ascii="Times New Roman" w:cs="Times New Roman" w:eastAsia="Times New Roman" w:hAnsi="Times New Roman"/>
          <w:sz w:val="21"/>
          <w:szCs w:val="21"/>
          <w:color w:val="auto"/>
        </w:rPr>
      </w:pPr>
    </w:p>
    <w:p>
      <w:pPr>
        <w:jc w:val="both"/>
        <w:ind w:firstLine="1284"/>
        <w:spacing w:after="0" w:line="208" w:lineRule="auto"/>
        <w:tabs>
          <w:tab w:leader="none" w:pos="1914" w:val="left"/>
        </w:tabs>
        <w:numPr>
          <w:ilvl w:val="2"/>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Excepting only to the extent otherwise provided in M.G.L. Chapter 186, Section 15, Licensee shall indemnify, defend, protect and hold harmless each of Licensor, Licensor’s managing agent for the Building, any mortgagees of Licensor, and each of Licensor’s and such persons or entities respective direct and indirect partners, officers, shareholders, directors, members, managers, trustees, beneficiaries, employees, principals, contractors, invitees, servants, agents and representatives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losses, liabilities, damages, claims, judgments, fines, suits, demands, costs, interest and expenses of any kind or nature (including reasonable attorneys’ fees and disbursements) incurred in connection with any claim, proceeding or judgment and the defense thereof, and including all costs of repairing any damage to the Licensed Area or the Building or the appurtenances of any of the foregoing to which a particular indemnity and hold harmless agreement applies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resulting from any claims (i) against the Indemnitees arising from any negligence or willful misconduct of Licensee or any employee, agent, contractor, officer, partner, licensee or invitee of Licensee, (ii) against the Indemnitees arising from any accident, injury or damage to any person or to the property of any person and occurring in or about the Licensed Area, or (iii) against the Indemnitees resulting from any breach, violation or nonperformance of any covenant, condition or agreement of this License Agreement on the part of Licensee to be fulfilled, kept, observed or performed. The foregoing shall not limit or detract from the waiver of subrogation set forth in Section 13(b).</w:t>
      </w:r>
    </w:p>
    <w:p>
      <w:pPr>
        <w:spacing w:after="0" w:line="200" w:lineRule="exact"/>
        <w:rPr>
          <w:rFonts w:ascii="Times New Roman" w:cs="Times New Roman" w:eastAsia="Times New Roman" w:hAnsi="Times New Roman"/>
          <w:sz w:val="21"/>
          <w:szCs w:val="21"/>
          <w:color w:val="auto"/>
        </w:rPr>
      </w:pPr>
    </w:p>
    <w:p>
      <w:pPr>
        <w:jc w:val="both"/>
        <w:ind w:firstLine="645"/>
        <w:spacing w:after="0" w:line="212" w:lineRule="auto"/>
        <w:tabs>
          <w:tab w:leader="none" w:pos="1278"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Assignment/Occupancy</w:t>
      </w:r>
      <w:r>
        <w:rPr>
          <w:rFonts w:ascii="Times New Roman" w:cs="Times New Roman" w:eastAsia="Times New Roman" w:hAnsi="Times New Roman"/>
          <w:sz w:val="18"/>
          <w:szCs w:val="18"/>
          <w:color w:val="auto"/>
        </w:rPr>
        <w:t>. Licensee shall not, directly or indirectly, assign or transfer Licensee’s rights or delegate Licensee’s duties under this License Agreement (whether by operation of law, transfer of interest in Licensee or otherwise) or permit the Licensed Area or any part thereof to be occupied or used by any other person or entity, without the prior written consent on Licensor in each instance in its sole discretion Licensee (which consent will not be unreasonably withheld). Any assignment or transfer contrary to the provisions of this Section 14 shall be void.</w:t>
      </w:r>
    </w:p>
    <w:p>
      <w:pPr>
        <w:spacing w:after="0" w:line="196" w:lineRule="exact"/>
        <w:rPr>
          <w:rFonts w:ascii="Times New Roman" w:cs="Times New Roman" w:eastAsia="Times New Roman" w:hAnsi="Times New Roman"/>
          <w:sz w:val="21"/>
          <w:szCs w:val="21"/>
          <w:color w:val="auto"/>
        </w:rPr>
      </w:pPr>
    </w:p>
    <w:p>
      <w:pPr>
        <w:jc w:val="both"/>
        <w:ind w:firstLine="645"/>
        <w:spacing w:after="0" w:line="224" w:lineRule="auto"/>
        <w:tabs>
          <w:tab w:leader="none" w:pos="1278"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u w:val="single" w:color="auto"/>
          <w:color w:val="auto"/>
        </w:rPr>
        <w:t>Casualty and Condemnation</w:t>
      </w:r>
      <w:r>
        <w:rPr>
          <w:rFonts w:ascii="Times New Roman" w:cs="Times New Roman" w:eastAsia="Times New Roman" w:hAnsi="Times New Roman"/>
          <w:sz w:val="17"/>
          <w:szCs w:val="17"/>
          <w:color w:val="auto"/>
        </w:rPr>
        <w:t>. If the Licensed Area or any other portion of the Building is materially damaged by fire or other casualty or is taken by eminent domain, Licensor and Licensee shall each have the option, within thirty (30) days of the occurrence of such event, to terminate this License Agreement by giving Licensee a notice of such termination to the other party. If either Licensor or Licensee elects to terminate this License Agreement as aforesaid, this License Agreement shall expire after such notice is given and Licensee shall vacate the Licensed Area and surrender same to Licensor.</w:t>
      </w:r>
    </w:p>
    <w:p>
      <w:pPr>
        <w:spacing w:after="0" w:line="194" w:lineRule="exact"/>
        <w:rPr>
          <w:rFonts w:ascii="Times New Roman" w:cs="Times New Roman" w:eastAsia="Times New Roman" w:hAnsi="Times New Roman"/>
          <w:sz w:val="20"/>
          <w:szCs w:val="20"/>
          <w:color w:val="auto"/>
        </w:rPr>
      </w:pPr>
    </w:p>
    <w:p>
      <w:pPr>
        <w:jc w:val="both"/>
        <w:ind w:firstLine="645"/>
        <w:spacing w:after="0" w:line="210" w:lineRule="auto"/>
        <w:tabs>
          <w:tab w:leader="none" w:pos="1278"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License Agreement: (a) if Licensee shall fail to pay any installment of the License Fee or other amounts payable under this License Agreement when due and such failure is not cured within five (5) days after delivery of notice thereof to Licensee, or (b) if Licensee shall fail to comply with any of Licensee’s other obligations under this License Agreement and such non-compliance continues for more than ten (10) business days after notice by Licensor to Licensee of such non-compliance. Upon the occurrence of one or more Events of Default, in addition to any and all other rights or remedies provided in this License Agreement or which Licensor may have at law, in equity, or otherwise, Licensor may elect to terminate this License Agreement upon notice to Licensee, and upon the giving of such notice this License Agreement shall terminate, and Licensee shall immediately quit and surrender the Licensed Area as required hereby after receipt of said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86" w:right="339" w:bottom="1440" w:gutter="0" w:footer="0" w:header="0"/>
        </w:sectPr>
      </w:pPr>
    </w:p>
    <w:bookmarkStart w:id="199" w:name="page200"/>
    <w:bookmarkEnd w:id="199"/>
    <w:p>
      <w:pPr>
        <w:jc w:val="both"/>
        <w:ind w:firstLine="645"/>
        <w:spacing w:after="0" w:line="216" w:lineRule="auto"/>
        <w:tabs>
          <w:tab w:leader="none" w:pos="1278"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License Agreement and Not a Lease</w:t>
      </w:r>
      <w:r>
        <w:rPr>
          <w:rFonts w:ascii="Times New Roman" w:cs="Times New Roman" w:eastAsia="Times New Roman" w:hAnsi="Times New Roman"/>
          <w:sz w:val="18"/>
          <w:szCs w:val="18"/>
          <w:color w:val="auto"/>
        </w:rPr>
        <w:t>. This License Agreement is not to be construed as in any way granting to Licensee any leasehold or other real property interest in the Licensed Area. This License Agreement merely grants to Licensee a license to enter upon and use the Licensed Area in accordance with the terms hereof and shall not be deemed to grant to Licensee a leasehold or other real property interest in the Licensed Area.</w:t>
      </w:r>
    </w:p>
    <w:p>
      <w:pPr>
        <w:spacing w:after="0" w:line="195" w:lineRule="exact"/>
        <w:rPr>
          <w:rFonts w:ascii="Times New Roman" w:cs="Times New Roman" w:eastAsia="Times New Roman" w:hAnsi="Times New Roman"/>
          <w:sz w:val="21"/>
          <w:szCs w:val="21"/>
          <w:color w:val="auto"/>
        </w:rPr>
      </w:pPr>
    </w:p>
    <w:p>
      <w:pPr>
        <w:jc w:val="both"/>
        <w:ind w:firstLine="645"/>
        <w:spacing w:after="0" w:line="209" w:lineRule="auto"/>
        <w:tabs>
          <w:tab w:leader="none" w:pos="1278"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any provision contained in this License Agreement to the contrary, the liability of the Licensor for its obligations under this License Agreement shall be limited to the interests of Licensor in the Building. In no event shall any partner, member, manager, shareholder, director, officer, principal, employee, agent, or owner of Licensor, direct or indirect, disclosed or undisclosed, be personally liable for any debts, liabilities or obligations of Licensor, or for any claims against Licensor, arising out of or resulting from this License Agreement. Any such debts, obligations, liabilities or claims shall be satisfied solely out of the interests of Licensor in the Building. In no event shall any personal judgment be sought or obtained against any partner, member, manager, shareholder, director, officer, principal, employee, agent, or owner of Licensor, direct or indirect, disclosed or undisclosed.</w:t>
      </w:r>
    </w:p>
    <w:p>
      <w:pPr>
        <w:spacing w:after="0" w:line="199" w:lineRule="exact"/>
        <w:rPr>
          <w:rFonts w:ascii="Times New Roman" w:cs="Times New Roman" w:eastAsia="Times New Roman" w:hAnsi="Times New Roman"/>
          <w:sz w:val="21"/>
          <w:szCs w:val="21"/>
          <w:color w:val="auto"/>
        </w:rPr>
      </w:pPr>
    </w:p>
    <w:p>
      <w:pPr>
        <w:jc w:val="both"/>
        <w:ind w:firstLine="645"/>
        <w:spacing w:after="0" w:line="217" w:lineRule="auto"/>
        <w:tabs>
          <w:tab w:leader="none" w:pos="127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u w:val="single" w:color="auto"/>
          <w:color w:val="auto"/>
        </w:rPr>
        <w:t>Bills and Notices</w:t>
      </w:r>
      <w:r>
        <w:rPr>
          <w:rFonts w:ascii="Times New Roman" w:cs="Times New Roman" w:eastAsia="Times New Roman" w:hAnsi="Times New Roman"/>
          <w:sz w:val="17"/>
          <w:szCs w:val="17"/>
          <w:color w:val="auto"/>
        </w:rPr>
        <w:t>. All bills, statements, consents, notices, demands, requests or other communications given or required to be given under this License Agreement shall be in writing and shall be deemed sufficiently given or rendered only if sent by hand (against an affidavit of delivery), by a nationally recognized overnight courier (against a receipt of delivery) or by registered or certified mail (return receipt requested) addressed as follows: (i) to the Licensee, at the Licensed Area; and (ii) to the Licensor, at its address set forth above, with copies to Licensor, Attn: Asset Management. and to Goulston</w:t>
      </w:r>
    </w:p>
    <w:p>
      <w:pPr>
        <w:jc w:val="both"/>
        <w:ind w:firstLine="6"/>
        <w:spacing w:after="0" w:line="211" w:lineRule="auto"/>
        <w:tabs>
          <w:tab w:leader="none" w:pos="1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Storrs PC, One Post Office Square, Boston, Massachusetts 02109, Attn: Frank E. Litwin, or to such other address(es) as Licensor may designate as its new address(es) for such purpose by notice given in accordance with the provisions of this Section 21. With respect to notices to Licensee, such notices shall be addressed to the address set forth above, with a copy to Licensee at the Licensed Area, or to such other address(es) as Licensee may designate as its new address(es) for such purpose by notice given in accordance with the provisions of this Section 21. Any such bill, statement, consent, notice, demand, request or other communication shall be deemed to have been rendered or given on the date when it is hand delivered or on the date of delivery as indicated by the receipt in the case of overnight delivery or by the return receipt in the case of mailing, or on the date delivery is first attempted and is refused or cannot be made because of a change in address for which no notice was given.</w:t>
      </w:r>
    </w:p>
    <w:p>
      <w:pPr>
        <w:spacing w:after="0" w:line="183" w:lineRule="exact"/>
        <w:rPr>
          <w:rFonts w:ascii="Times New Roman" w:cs="Times New Roman" w:eastAsia="Times New Roman" w:hAnsi="Times New Roman"/>
          <w:sz w:val="18"/>
          <w:szCs w:val="18"/>
          <w:color w:val="auto"/>
        </w:rPr>
      </w:pPr>
    </w:p>
    <w:p>
      <w:pPr>
        <w:ind w:firstLine="645"/>
        <w:spacing w:after="0" w:line="223" w:lineRule="auto"/>
        <w:tabs>
          <w:tab w:leader="none" w:pos="1278"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No Consequential Damages</w:t>
      </w:r>
      <w:r>
        <w:rPr>
          <w:rFonts w:ascii="Times New Roman" w:cs="Times New Roman" w:eastAsia="Times New Roman" w:hAnsi="Times New Roman"/>
          <w:sz w:val="18"/>
          <w:szCs w:val="18"/>
          <w:color w:val="auto"/>
        </w:rPr>
        <w:t>. In no event and under no circumstances shall either party be liable to the other party for consequential, incidental, or punitive damages, of any kind or description.</w:t>
      </w:r>
    </w:p>
    <w:p>
      <w:pPr>
        <w:spacing w:after="0" w:line="158" w:lineRule="exact"/>
        <w:rPr>
          <w:rFonts w:ascii="Times New Roman" w:cs="Times New Roman" w:eastAsia="Times New Roman" w:hAnsi="Times New Roman"/>
          <w:sz w:val="21"/>
          <w:szCs w:val="21"/>
          <w:color w:val="auto"/>
        </w:rPr>
      </w:pPr>
    </w:p>
    <w:p>
      <w:pPr>
        <w:ind w:left="1280" w:hanging="635"/>
        <w:spacing w:after="0"/>
        <w:tabs>
          <w:tab w:leader="none" w:pos="128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u w:val="single" w:color="auto"/>
          <w:color w:val="auto"/>
        </w:rPr>
        <w:t>No Representations</w:t>
      </w:r>
      <w:r>
        <w:rPr>
          <w:rFonts w:ascii="Times New Roman" w:cs="Times New Roman" w:eastAsia="Times New Roman" w:hAnsi="Times New Roman"/>
          <w:sz w:val="17"/>
          <w:szCs w:val="17"/>
          <w:color w:val="auto"/>
        </w:rPr>
        <w:t>. Licensee acknowledges that Licensor has made no warranties, representations, statements or promises with respect to</w:t>
      </w:r>
    </w:p>
    <w:p>
      <w:pPr>
        <w:spacing w:after="0" w:line="23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the rentable area of the Licensed Area, (ii) compliance of the Licensed Area with applicable Requirements, or (iii) the suitability of the Licensed Area for any particular use or purpose.</w:t>
      </w:r>
    </w:p>
    <w:p>
      <w:pPr>
        <w:spacing w:after="0" w:line="171" w:lineRule="exact"/>
        <w:rPr>
          <w:rFonts w:ascii="Times New Roman" w:cs="Times New Roman" w:eastAsia="Times New Roman" w:hAnsi="Times New Roman"/>
          <w:sz w:val="20"/>
          <w:szCs w:val="20"/>
          <w:color w:val="auto"/>
        </w:rPr>
      </w:pPr>
    </w:p>
    <w:p>
      <w:pPr>
        <w:ind w:left="1280" w:hanging="635"/>
        <w:spacing w:after="0"/>
        <w:tabs>
          <w:tab w:leader="none" w:pos="1280"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21"/>
          <w:szCs w:val="21"/>
          <w:color w:val="auto"/>
        </w:rPr>
      </w:pPr>
    </w:p>
    <w:p>
      <w:pPr>
        <w:jc w:val="both"/>
        <w:ind w:firstLine="1284"/>
        <w:spacing w:after="0" w:line="211" w:lineRule="auto"/>
        <w:tabs>
          <w:tab w:leader="none" w:pos="1914" w:val="left"/>
        </w:tabs>
        <w:numPr>
          <w:ilvl w:val="2"/>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This License Agreement may be executed by electronic signatures, each of which shall be considered as an original signature for all purposes and shall have the same force and effect as an original signature. Without limitation, in addition to electronically produced signatures, “electronic signature” shall include electronically scanned and transmitted versions (e.g., via PDF and/or DocuSign) of an original signature. This License Agreement may be executed in multiple counterparts (which counterparts may be executed and delivered by PDF, DocuSign, or another file sent by email) which shall together constitute a single document. Any executed counterpart of this License Agreement delivered by PDF, DocuSign or another file sent by email shall be equally effective as an original counterpart for all purposes.</w:t>
      </w:r>
    </w:p>
    <w:p>
      <w:pPr>
        <w:spacing w:after="0" w:line="195" w:lineRule="exact"/>
        <w:rPr>
          <w:rFonts w:ascii="Times New Roman" w:cs="Times New Roman" w:eastAsia="Times New Roman" w:hAnsi="Times New Roman"/>
          <w:sz w:val="21"/>
          <w:szCs w:val="21"/>
          <w:color w:val="auto"/>
        </w:rPr>
      </w:pPr>
    </w:p>
    <w:p>
      <w:pPr>
        <w:jc w:val="both"/>
        <w:ind w:firstLine="1284"/>
        <w:spacing w:after="0" w:line="216" w:lineRule="auto"/>
        <w:tabs>
          <w:tab w:leader="none" w:pos="1912" w:val="left"/>
        </w:tabs>
        <w:numPr>
          <w:ilvl w:val="2"/>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This License Agreement shall be governed in all respects by the laws of the Commonwealth of Massachusetts. Licensee agrees that all disputes arising, directly or indirectly, out of or relating to this License, and all actions to enforce this License, shall be dealt with and adjudicated in the state courts of the Commonwealth of Massachusetts or the federal courts for the Commonwealth of Massachusetts; and for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200" w:name="page201"/>
    <w:bookmarkEnd w:id="200"/>
    <w:p>
      <w:pPr>
        <w:jc w:val="both"/>
        <w:spacing w:after="0" w:line="232" w:lineRule="auto"/>
        <w:rPr>
          <w:sz w:val="20"/>
          <w:szCs w:val="20"/>
          <w:color w:val="auto"/>
        </w:rPr>
      </w:pPr>
      <w:r>
        <w:rPr>
          <w:rFonts w:ascii="Times New Roman" w:cs="Times New Roman" w:eastAsia="Times New Roman" w:hAnsi="Times New Roman"/>
          <w:sz w:val="17"/>
          <w:szCs w:val="17"/>
          <w:color w:val="auto"/>
        </w:rPr>
        <w:t>purpose Licensee expressly and irrevocably submits itself to the jurisdiction of such courts. Licensee agrees that so far as is permitted under applicable law, this consent to personal jurisdiction shall be self-operative and no further instrument or action, other than service of process in one of the manners specified in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this License, or as otherwise permitted by law, shall be necessary in order to confer jurisdiction upon it in any such court. Licensee further agrees that judgment against it in any such action or proceeding shall be conclusive and, to the extent permitted by applicable law, may be enforced in any other jurisdiction within or outside the United States of America by suit on the judgment, a certified or exemplified copy of which shall be conclusive evidence of</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the fact and of the amount of its indebtedness. To the extent that Licensee has or hereafter may acquire any immunity from jurisdiction of any court or from any legal process (whether through service or notice, attachment prior to judgment, attachment in aid of execution, execution or otherwise) with respect to itself or its property, Licensee irrevocably waives such immunity in respect of its obligations under this License. This License Agreement contains the entire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agreement between the parties with respect to the Licensed Area and all prior negotiations and agreements are merged into this License Agreement. This License Agreement may not be modified or amended, nor any of its provisions waived, except by a written instrument executed by both Licensor and Licensee.</w:t>
      </w:r>
    </w:p>
    <w:p>
      <w:pPr>
        <w:spacing w:after="0" w:line="196" w:lineRule="exact"/>
        <w:rPr>
          <w:sz w:val="20"/>
          <w:szCs w:val="20"/>
          <w:color w:val="auto"/>
        </w:rPr>
      </w:pPr>
    </w:p>
    <w:p>
      <w:pPr>
        <w:jc w:val="both"/>
        <w:ind w:firstLine="1284"/>
        <w:spacing w:after="0" w:line="216" w:lineRule="auto"/>
        <w:tabs>
          <w:tab w:leader="none" w:pos="191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submission of this document for examination and negotiation does not constitute an offer to license, or a reservation or option. This License Agreement shall not be binding upon Licensor or Licensee unless and until Licensor shall have delivered a fully executed counterpart of this License Agreement to Licensee.</w:t>
      </w:r>
    </w:p>
    <w:p>
      <w:pPr>
        <w:spacing w:after="0" w:line="182" w:lineRule="exact"/>
        <w:rPr>
          <w:rFonts w:ascii="Times New Roman" w:cs="Times New Roman" w:eastAsia="Times New Roman" w:hAnsi="Times New Roman"/>
          <w:sz w:val="21"/>
          <w:szCs w:val="21"/>
          <w:color w:val="auto"/>
        </w:rPr>
      </w:pPr>
    </w:p>
    <w:p>
      <w:pPr>
        <w:jc w:val="both"/>
        <w:ind w:firstLine="1284"/>
        <w:spacing w:after="0" w:line="213" w:lineRule="auto"/>
        <w:tabs>
          <w:tab w:leader="none" w:pos="1912"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any term or provision of this License Agreement, or the application thereof to any person or circumstance shall, to any extent, be invalid or unenforceable, the remainder of this License Agreement, or the application of such term or provision to persons or circumstances other than those as to which it is held invalid or unenforceable, shall not be affected thereby, and each term and provision of this License Agreement shall be valid and be enforced to the fullest extent permitted by law. The paragraph headings throughout this instrument are for convenience and reference only, and the words contained therein shall in no way be held to explain, modify, amplify, or aid in the interpretation, construction, or meaning of the provisions of this License Agreement.</w:t>
      </w:r>
    </w:p>
    <w:p>
      <w:pPr>
        <w:spacing w:after="0" w:line="185" w:lineRule="exact"/>
        <w:rPr>
          <w:rFonts w:ascii="Times New Roman" w:cs="Times New Roman" w:eastAsia="Times New Roman" w:hAnsi="Times New Roman"/>
          <w:sz w:val="21"/>
          <w:szCs w:val="21"/>
          <w:color w:val="auto"/>
        </w:rPr>
      </w:pPr>
    </w:p>
    <w:p>
      <w:pPr>
        <w:jc w:val="both"/>
        <w:ind w:firstLine="1284"/>
        <w:spacing w:after="0" w:line="224" w:lineRule="auto"/>
        <w:tabs>
          <w:tab w:leader="none" w:pos="191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Failure on the part of either party to complain of any action or inaction on the part of the other, no matter how long the same may continue, shall never be deemed to be a waiver of any of its rights hereunder. Further, no waiver at any time of any of the provisions hereof shall be construed as a waiver of any of the other provisions hereof, and a waiver at any time of any of the provisions hereof shall not be construed as a waiver at any subsequent time of the same provisions. The consent or approval of Licensor to or of any action by Licensee requiring the Licensor’s consent or approval shall not be deemed to waive or render unnecessary the Licensor’s consent or approval to or of any subsequent similar act by Licensee. No payment by Licensee, or acceptance by Licensor, of a lesser amount than shall be due from Licensee to Licensor shall be treated otherwise than as a payment on account (and any endorsement or statement thereon, or upon any letter accompanying such check, that such lesser amount is payment in full, shall be given no effect).</w:t>
      </w:r>
    </w:p>
    <w:p>
      <w:pPr>
        <w:spacing w:after="0" w:line="181" w:lineRule="exact"/>
        <w:rPr>
          <w:rFonts w:ascii="Times New Roman" w:cs="Times New Roman" w:eastAsia="Times New Roman" w:hAnsi="Times New Roman"/>
          <w:sz w:val="20"/>
          <w:szCs w:val="20"/>
          <w:color w:val="auto"/>
        </w:rPr>
      </w:pPr>
    </w:p>
    <w:p>
      <w:pPr>
        <w:jc w:val="both"/>
        <w:ind w:firstLine="1284"/>
        <w:spacing w:after="0" w:line="210" w:lineRule="auto"/>
        <w:tabs>
          <w:tab w:leader="none" w:pos="1917"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Licensee represents and warrants to Licensor that Licensee has not dealt with any broker or other person in connection with this License other than Jones Lang LaSalle Americas, Inc. (the “</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Licensor will be responsible for payment of all commissions or fees, if any, payable to the Broker in connection with this License Agreement. Licensor represents and warrants to Licensee that Licensor has not dealt with any broker or other person in connection with this License Agreement other than the Broker. Licensee shall indemnify and hold Licensor harmless from and against any and all claims for commission, fee, reimbursement for expenses, or other compensation by any broker or person other than the Broker who claims to have dealt with Licensee in connection with this License Agreement and for any and all costs incurred by Licensor in connection with such claims, including, without limitation, reasonable attorneys’ fees and disbursements. Licensor shall indemnify and hold Licensee harmless from and against any and all claims for commission, fee, reimbursement for expenses, or other compensation by any broker or person who claims to have dealt with Licensor in connection with this License Agreement and for any and all costs incurred by Licensee in connection with such claims, including, without limitation, reasonable attorneys’ fees and disbursements. This subsection (f) shall survive the expiration or earlier termination of the Term of this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86" w:right="339" w:bottom="1440" w:gutter="0" w:footer="0" w:header="0"/>
        </w:sectPr>
      </w:pPr>
    </w:p>
    <w:bookmarkStart w:id="201" w:name="page202"/>
    <w:bookmarkEnd w:id="201"/>
    <w:p>
      <w:pPr>
        <w:ind w:firstLine="1284"/>
        <w:spacing w:after="0" w:line="277" w:lineRule="auto"/>
        <w:tabs>
          <w:tab w:leader="none" w:pos="168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install Building-standard signage identifying Licensee at the entry door to the Licensed Area. In addition, Licensor will provide for a listing for the company name of Licensee in the lobby directory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floor of the Building.</w:t>
      </w:r>
    </w:p>
    <w:p>
      <w:pPr>
        <w:spacing w:after="0" w:line="94" w:lineRule="exact"/>
        <w:rPr>
          <w:rFonts w:ascii="Times New Roman" w:cs="Times New Roman" w:eastAsia="Times New Roman" w:hAnsi="Times New Roman"/>
          <w:sz w:val="18"/>
          <w:szCs w:val="18"/>
          <w:color w:val="auto"/>
        </w:rPr>
      </w:pPr>
    </w:p>
    <w:p>
      <w:pPr>
        <w:jc w:val="both"/>
        <w:ind w:firstLine="1284"/>
        <w:spacing w:after="0" w:line="251" w:lineRule="auto"/>
        <w:tabs>
          <w:tab w:leader="none" w:pos="171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Licensee shall be entitled to contract for up to, but not in excess of, six (6) parking spaces located in the parking garage beneath the Building (the “</w:t>
      </w:r>
      <w:r>
        <w:rPr>
          <w:rFonts w:ascii="Times New Roman" w:cs="Times New Roman" w:eastAsia="Times New Roman" w:hAnsi="Times New Roman"/>
          <w:sz w:val="18"/>
          <w:szCs w:val="18"/>
          <w:b w:val="1"/>
          <w:bCs w:val="1"/>
          <w:color w:val="auto"/>
        </w:rPr>
        <w:t>Parking Area</w:t>
      </w:r>
      <w:r>
        <w:rPr>
          <w:rFonts w:ascii="Times New Roman" w:cs="Times New Roman" w:eastAsia="Times New Roman" w:hAnsi="Times New Roman"/>
          <w:sz w:val="18"/>
          <w:szCs w:val="18"/>
          <w:color w:val="auto"/>
        </w:rPr>
        <w:t>”). The monthly rent per parking space shall be the prevailing rate charged from time to time by Licensor or the parking garage operator, as the case may be. Licensor’s failure or inability to provide any such parking spaces, whether because of casualty, eminent domain or for any other reason beyond Licensor’s reasonable control, shall not constitute a breach of any of Licensor’s obligations under this License Agreement and shall in no event entitle Licensee to terminate this License Agreement or to any compensation, damages or other claim against Licensor. The Parking Area is operated on a self-parking basis and no specific parking spaces will be reserved for use exclusively by Licensee. Licensor does not assume any responsibility for, and shall not be held liable for, any damage or loss to any automobiles parked in the Parking Area or to any personal property located therein, or for any injury sustained by any person in or about the Parking Area.</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99"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color w:val="auto"/>
        </w:rPr>
        <w:t>Please confirm your agreement with the foregoing by executing this agreement where indicated below.</w:t>
      </w:r>
    </w:p>
    <w:p>
      <w:pPr>
        <w:sectPr>
          <w:pgSz w:w="11900" w:h="16838" w:orient="portrait"/>
          <w:cols w:equalWidth="0" w:num="1">
            <w:col w:w="10139"/>
          </w:cols>
          <w:pgMar w:left="320" w:top="1399" w:right="1440" w:bottom="1440" w:gutter="0" w:footer="0" w:header="0"/>
        </w:sectPr>
      </w:pP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99 HIGH STREET OWNER LLC,</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66"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-9525</wp:posOffset>
            </wp:positionV>
            <wp:extent cx="10445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Name: David Greaney</w:t>
      </w:r>
    </w:p>
    <w:p>
      <w:pPr>
        <w:spacing w:after="0" w:line="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PRAXIS PRECISION MEDICINES, INC.,</w:t>
      </w:r>
    </w:p>
    <w:p>
      <w:pPr>
        <w:spacing w:after="0" w:line="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-9525</wp:posOffset>
            </wp:positionV>
            <wp:extent cx="12141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5" w:lineRule="exact"/>
        <w:rPr>
          <w:sz w:val="20"/>
          <w:szCs w:val="20"/>
          <w:color w:val="auto"/>
        </w:rPr>
      </w:pPr>
    </w:p>
    <w:p>
      <w:pPr>
        <w:ind w:left="1460"/>
        <w:spacing w:after="0"/>
        <w:tabs>
          <w:tab w:leader="none" w:pos="2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-21590</wp:posOffset>
            </wp:positionV>
            <wp:extent cx="9671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ind w:left="1460"/>
        <w:spacing w:after="0"/>
        <w:tabs>
          <w:tab w:leader="none" w:pos="2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-21590</wp:posOffset>
            </wp:positionV>
            <wp:extent cx="10890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ectPr>
          <w:pgSz w:w="11900" w:h="16838" w:orient="portrait"/>
          <w:cols w:equalWidth="0" w:num="1">
            <w:col w:w="10139"/>
          </w:cols>
          <w:pgMar w:left="320" w:top="1399" w:right="1440" w:bottom="1440" w:gutter="0" w:footer="0" w:header="0"/>
          <w:type w:val="continuous"/>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LICENSED AREA</w:t>
      </w:r>
    </w:p>
    <w:p>
      <w:pPr>
        <w:sectPr>
          <w:pgSz w:w="11900" w:h="16838" w:orient="portrait"/>
          <w:cols w:equalWidth="0" w:num="1">
            <w:col w:w="9019"/>
          </w:cols>
          <w:pgMar w:left="1440" w:top="1399" w:right="1440"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SUBSIDIARIES OF PRAXIS PRECISION MEDICINES, INC.</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3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6"/>
              </w:rPr>
              <w:t>Jurisdiction of Formation /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r>
      <w:tr>
        <w:trPr>
          <w:trHeight w:val="437"/>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Praxis Security Corporation</w:t>
            </w:r>
          </w:p>
        </w:tc>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Massachusetts</w:t>
            </w:r>
          </w:p>
        </w:tc>
      </w:tr>
      <w:tr>
        <w:trPr>
          <w:trHeight w:val="386"/>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Praxis Medicines International Holdings, LLC</w:t>
            </w:r>
          </w:p>
        </w:tc>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386"/>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Praxis Precision Medicines India Private Limited</w:t>
            </w:r>
          </w:p>
        </w:tc>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India</w:t>
            </w:r>
          </w:p>
        </w:tc>
      </w:tr>
    </w:tbl>
    <w:p>
      <w:pPr>
        <w:sectPr>
          <w:pgSz w:w="11900" w:h="16838" w:orient="portrait"/>
          <w:cols w:equalWidth="0" w:num="1">
            <w:col w:w="11160"/>
          </w:cols>
          <w:pgMar w:left="400" w:top="139" w:right="339" w:bottom="1440" w:gutter="0" w:footer="0" w:header="0"/>
        </w:sectPr>
      </w:pPr>
    </w:p>
    <w:bookmarkStart w:id="205" w:name="page206"/>
    <w:bookmarkEnd w:id="205"/>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2" w:lineRule="exact"/>
        <w:rPr>
          <w:sz w:val="20"/>
          <w:szCs w:val="20"/>
          <w:color w:val="auto"/>
        </w:rPr>
      </w:pPr>
    </w:p>
    <w:p>
      <w:pPr>
        <w:ind w:left="960" w:hanging="315"/>
        <w:spacing w:after="0"/>
        <w:tabs>
          <w:tab w:leader="none" w:pos="9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and related prospectus (Form S-3 No. 333-284016) of Praxis Precision Medicines, Inc.,</w:t>
      </w:r>
    </w:p>
    <w:p>
      <w:pPr>
        <w:spacing w:after="0" w:line="25" w:lineRule="exact"/>
        <w:rPr>
          <w:rFonts w:ascii="Times New Roman" w:cs="Times New Roman" w:eastAsia="Times New Roman" w:hAnsi="Times New Roman"/>
          <w:sz w:val="18"/>
          <w:szCs w:val="18"/>
          <w:color w:val="auto"/>
        </w:rPr>
      </w:pPr>
    </w:p>
    <w:p>
      <w:pPr>
        <w:ind w:left="960" w:hanging="315"/>
        <w:spacing w:after="0" w:line="262" w:lineRule="auto"/>
        <w:tabs>
          <w:tab w:leader="none" w:pos="95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333-285397) pertaining to the Praxis Precision Medicines, Inc. 2020 Stock Option and Incentive Plan and the Praxis Precision Medicines, Inc. 2020 Employee Stock Purchase Plan,</w:t>
      </w:r>
    </w:p>
    <w:p>
      <w:pPr>
        <w:ind w:left="960" w:hanging="315"/>
        <w:spacing w:after="0"/>
        <w:tabs>
          <w:tab w:leader="none" w:pos="9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333-285398) pertaining to the Praxis Precision Medicines, Inc. 2024 Inducement Plan,</w:t>
      </w:r>
    </w:p>
    <w:p>
      <w:pPr>
        <w:spacing w:after="0" w:line="6"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333-276786) pertaining to the Praxis Precision Medicines, Inc. 2024 Inducement Plan, as amended by Post-Effective Amendment No. 1 to Form S-8 Registration Statement to include the Praxis Precision Medicines, Inc. 2020 Stock Option and Incentive Plan, as Amended and Restated,</w:t>
      </w:r>
    </w:p>
    <w:p>
      <w:pPr>
        <w:ind w:left="960" w:hanging="315"/>
        <w:spacing w:after="0" w:line="262" w:lineRule="auto"/>
        <w:tabs>
          <w:tab w:leader="none" w:pos="95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333-277652, 333-269615, 333-263081 and 333-254410) pertaining to the Praxis Precision Medicines, Inc. 2020 Stock Option and Incentive Plan and the Praxis Precision Medicines, Inc. 2020 Employee Stock Purchase Plan, and</w:t>
      </w:r>
    </w:p>
    <w:p>
      <w:pPr>
        <w:ind w:left="960" w:hanging="315"/>
        <w:spacing w:after="0" w:line="299" w:lineRule="auto"/>
        <w:tabs>
          <w:tab w:leader="none" w:pos="954"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333-249522) pertaining to the Praxis Precision Medicines, Inc. 2017 Stock Incentive Plan, the Praxis Precision Medicines, Inc. 2020 Stock Option and Incentive Plan and the Praxis Precision Medicines, Inc. 2020 Employee Stock Purchase Plan;</w:t>
      </w:r>
    </w:p>
    <w:p>
      <w:pPr>
        <w:spacing w:after="0" w:line="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of our reports dated February 19, 2026, with respect to the consolidated financial statements of Praxis Precision Medicines, Inc. and the effectiveness of internal control over financial reporting of Praxis Precision Medicines, Inc. included in this Annual Report (Form 10-K) of Praxis Precision Medicines,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ectPr>
          <w:pgSz w:w="11900" w:h="16838" w:orient="portrait"/>
          <w:cols w:equalWidth="0" w:num="1">
            <w:col w:w="11240"/>
          </w:cols>
          <w:pgMar w:left="320" w:top="1440"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9" w:lineRule="exact"/>
        <w:rPr>
          <w:sz w:val="20"/>
          <w:szCs w:val="20"/>
          <w:color w:val="auto"/>
        </w:rPr>
      </w:pPr>
    </w:p>
    <w:p>
      <w:pPr>
        <w:jc w:val="center"/>
        <w:ind w:left="340" w:right="20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Marcio Souza, certify that:</w:t>
      </w:r>
    </w:p>
    <w:p>
      <w:pPr>
        <w:spacing w:after="0" w:line="192" w:lineRule="exact"/>
        <w:rPr>
          <w:sz w:val="20"/>
          <w:szCs w:val="20"/>
          <w:color w:val="auto"/>
        </w:rPr>
      </w:pPr>
    </w:p>
    <w:p>
      <w:pPr>
        <w:ind w:left="460" w:hanging="436"/>
        <w:spacing w:after="0"/>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Praxis Precision Medicines, Inc.;</w:t>
      </w:r>
    </w:p>
    <w:p>
      <w:pPr>
        <w:spacing w:after="0" w:line="272" w:lineRule="exact"/>
        <w:rPr>
          <w:rFonts w:ascii="Times New Roman" w:cs="Times New Roman" w:eastAsia="Times New Roman" w:hAnsi="Times New Roman"/>
          <w:sz w:val="18"/>
          <w:szCs w:val="18"/>
          <w:color w:val="auto"/>
        </w:rPr>
      </w:pPr>
    </w:p>
    <w:p>
      <w:pPr>
        <w:jc w:val="both"/>
        <w:ind w:left="460" w:right="460" w:hanging="436"/>
        <w:spacing w:after="0" w:line="261"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Times New Roman" w:cs="Times New Roman" w:eastAsia="Times New Roman" w:hAnsi="Times New Roman"/>
          <w:sz w:val="18"/>
          <w:szCs w:val="18"/>
          <w:color w:val="auto"/>
        </w:rPr>
      </w:pPr>
    </w:p>
    <w:p>
      <w:pPr>
        <w:ind w:left="480" w:right="400" w:hanging="429"/>
        <w:spacing w:after="0" w:line="276" w:lineRule="auto"/>
        <w:tabs>
          <w:tab w:leader="none" w:pos="4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Times New Roman" w:cs="Times New Roman" w:eastAsia="Times New Roman" w:hAnsi="Times New Roman"/>
          <w:sz w:val="18"/>
          <w:szCs w:val="18"/>
          <w:color w:val="auto"/>
        </w:rPr>
      </w:pPr>
    </w:p>
    <w:p>
      <w:pPr>
        <w:jc w:val="both"/>
        <w:ind w:left="480" w:right="440" w:hanging="429"/>
        <w:spacing w:after="0" w:line="238" w:lineRule="auto"/>
        <w:tabs>
          <w:tab w:leader="none" w:pos="4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8"/>
          <w:szCs w:val="18"/>
          <w:color w:val="auto"/>
        </w:rPr>
      </w:pPr>
    </w:p>
    <w:p>
      <w:pPr>
        <w:ind w:left="1040" w:right="320" w:hanging="563"/>
        <w:spacing w:after="0" w:line="261" w:lineRule="auto"/>
        <w:tabs>
          <w:tab w:leader="none" w:pos="104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8"/>
          <w:szCs w:val="18"/>
          <w:color w:val="auto"/>
        </w:rPr>
      </w:pPr>
    </w:p>
    <w:p>
      <w:pPr>
        <w:ind w:left="1040" w:right="440" w:hanging="563"/>
        <w:spacing w:after="0" w:line="246" w:lineRule="auto"/>
        <w:tabs>
          <w:tab w:leader="none" w:pos="104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040" w:right="620" w:hanging="563"/>
        <w:spacing w:after="0" w:line="306" w:lineRule="auto"/>
        <w:tabs>
          <w:tab w:leader="none" w:pos="1040" w:val="left"/>
        </w:tabs>
        <w:numPr>
          <w:ilvl w:val="2"/>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Times New Roman" w:cs="Times New Roman" w:eastAsia="Times New Roman" w:hAnsi="Times New Roman"/>
          <w:sz w:val="17"/>
          <w:szCs w:val="17"/>
          <w:color w:val="auto"/>
        </w:rPr>
      </w:pPr>
    </w:p>
    <w:p>
      <w:pPr>
        <w:ind w:left="1040" w:right="320" w:hanging="563"/>
        <w:spacing w:after="0" w:line="261" w:lineRule="auto"/>
        <w:tabs>
          <w:tab w:leader="none" w:pos="104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480" w:right="400" w:hanging="429"/>
        <w:spacing w:after="0" w:line="276" w:lineRule="auto"/>
        <w:tabs>
          <w:tab w:leader="none" w:pos="4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040" w:right="900" w:hanging="563"/>
        <w:spacing w:after="0" w:line="306" w:lineRule="auto"/>
        <w:tabs>
          <w:tab w:leader="none" w:pos="1040" w:val="left"/>
        </w:tabs>
        <w:numPr>
          <w:ilvl w:val="2"/>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Times New Roman" w:cs="Times New Roman" w:eastAsia="Times New Roman" w:hAnsi="Times New Roman"/>
          <w:sz w:val="17"/>
          <w:szCs w:val="17"/>
          <w:color w:val="auto"/>
        </w:rPr>
      </w:pPr>
    </w:p>
    <w:p>
      <w:pPr>
        <w:ind w:left="1040" w:right="600" w:hanging="563"/>
        <w:spacing w:after="0" w:line="276" w:lineRule="auto"/>
        <w:tabs>
          <w:tab w:leader="none" w:pos="104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20"/>
        <w:spacing w:after="0"/>
        <w:tabs>
          <w:tab w:leader="none" w:pos="5560" w:val="left"/>
          <w:tab w:leader="none" w:pos="7760" w:val="left"/>
        </w:tabs>
        <w:rPr>
          <w:sz w:val="20"/>
          <w:szCs w:val="20"/>
          <w:color w:val="auto"/>
        </w:rPr>
      </w:pPr>
      <w:r>
        <w:rPr>
          <w:rFonts w:ascii="Times New Roman" w:cs="Times New Roman" w:eastAsia="Times New Roman" w:hAnsi="Times New Roman"/>
          <w:sz w:val="18"/>
          <w:szCs w:val="18"/>
          <w:color w:val="auto"/>
        </w:rPr>
        <w:t>Date: February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32385</wp:posOffset>
            </wp:positionV>
            <wp:extent cx="31191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Marcio Souza</w:t>
      </w:r>
    </w:p>
    <w:p>
      <w:pPr>
        <w:spacing w:after="0" w:line="5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5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97"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9" w:lineRule="exact"/>
        <w:rPr>
          <w:sz w:val="20"/>
          <w:szCs w:val="20"/>
          <w:color w:val="auto"/>
        </w:rPr>
      </w:pPr>
    </w:p>
    <w:p>
      <w:pPr>
        <w:jc w:val="center"/>
        <w:ind w:left="340" w:right="20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Kelly, certify that:</w:t>
      </w:r>
    </w:p>
    <w:p>
      <w:pPr>
        <w:spacing w:after="0" w:line="192" w:lineRule="exact"/>
        <w:rPr>
          <w:sz w:val="20"/>
          <w:szCs w:val="20"/>
          <w:color w:val="auto"/>
        </w:rPr>
      </w:pPr>
    </w:p>
    <w:p>
      <w:pPr>
        <w:ind w:left="460" w:hanging="436"/>
        <w:spacing w:after="0"/>
        <w:tabs>
          <w:tab w:leader="none" w:pos="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Praxis Precision Medicines, Inc.;</w:t>
      </w:r>
    </w:p>
    <w:p>
      <w:pPr>
        <w:spacing w:after="0" w:line="285" w:lineRule="exact"/>
        <w:rPr>
          <w:rFonts w:ascii="Times New Roman" w:cs="Times New Roman" w:eastAsia="Times New Roman" w:hAnsi="Times New Roman"/>
          <w:sz w:val="18"/>
          <w:szCs w:val="18"/>
          <w:color w:val="auto"/>
        </w:rPr>
      </w:pPr>
    </w:p>
    <w:p>
      <w:pPr>
        <w:jc w:val="both"/>
        <w:ind w:left="480" w:right="440" w:hanging="429"/>
        <w:spacing w:after="0" w:line="276" w:lineRule="auto"/>
        <w:tabs>
          <w:tab w:leader="none" w:pos="4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480" w:right="400" w:hanging="429"/>
        <w:spacing w:after="0" w:line="291" w:lineRule="auto"/>
        <w:tabs>
          <w:tab w:leader="none" w:pos="4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8"/>
          <w:szCs w:val="18"/>
          <w:color w:val="auto"/>
        </w:rPr>
      </w:pPr>
    </w:p>
    <w:p>
      <w:pPr>
        <w:jc w:val="both"/>
        <w:ind w:left="480" w:right="440" w:hanging="429"/>
        <w:spacing w:after="0" w:line="238" w:lineRule="auto"/>
        <w:tabs>
          <w:tab w:leader="none" w:pos="4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8"/>
          <w:szCs w:val="18"/>
          <w:color w:val="auto"/>
        </w:rPr>
      </w:pPr>
    </w:p>
    <w:p>
      <w:pPr>
        <w:ind w:left="1040" w:right="320" w:hanging="563"/>
        <w:spacing w:after="0" w:line="276" w:lineRule="auto"/>
        <w:tabs>
          <w:tab w:leader="none" w:pos="104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8"/>
          <w:szCs w:val="18"/>
          <w:color w:val="auto"/>
        </w:rPr>
      </w:pPr>
    </w:p>
    <w:p>
      <w:pPr>
        <w:ind w:left="1040" w:right="440" w:hanging="563"/>
        <w:spacing w:after="0" w:line="246" w:lineRule="auto"/>
        <w:tabs>
          <w:tab w:leader="none" w:pos="104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040" w:right="620" w:hanging="563"/>
        <w:spacing w:after="0" w:line="306" w:lineRule="auto"/>
        <w:tabs>
          <w:tab w:leader="none" w:pos="1040" w:val="left"/>
        </w:tabs>
        <w:numPr>
          <w:ilvl w:val="2"/>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left="1040" w:right="320" w:hanging="563"/>
        <w:spacing w:after="0" w:line="276" w:lineRule="auto"/>
        <w:tabs>
          <w:tab w:leader="none" w:pos="104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480" w:right="400" w:hanging="429"/>
        <w:spacing w:after="0" w:line="291" w:lineRule="auto"/>
        <w:tabs>
          <w:tab w:leader="none" w:pos="4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040" w:right="900" w:hanging="563"/>
        <w:spacing w:after="0" w:line="306" w:lineRule="auto"/>
        <w:tabs>
          <w:tab w:leader="none" w:pos="1040" w:val="left"/>
        </w:tabs>
        <w:numPr>
          <w:ilvl w:val="2"/>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left="1040" w:right="600" w:hanging="563"/>
        <w:spacing w:after="0" w:line="276" w:lineRule="auto"/>
        <w:tabs>
          <w:tab w:leader="none" w:pos="104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20"/>
        <w:spacing w:after="0"/>
        <w:tabs>
          <w:tab w:leader="none" w:pos="5600" w:val="left"/>
          <w:tab w:leader="none" w:pos="7740" w:val="left"/>
        </w:tabs>
        <w:rPr>
          <w:sz w:val="20"/>
          <w:szCs w:val="20"/>
          <w:color w:val="auto"/>
        </w:rPr>
      </w:pPr>
      <w:r>
        <w:rPr>
          <w:rFonts w:ascii="Times New Roman" w:cs="Times New Roman" w:eastAsia="Times New Roman" w:hAnsi="Times New Roman"/>
          <w:sz w:val="18"/>
          <w:szCs w:val="18"/>
          <w:color w:val="auto"/>
        </w:rPr>
        <w:t>Date: February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40640</wp:posOffset>
            </wp:positionV>
            <wp:extent cx="31191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66"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Timothy Kelly</w:t>
      </w:r>
    </w:p>
    <w:p>
      <w:pPr>
        <w:spacing w:after="0" w:line="7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397" w:right="339" w:bottom="1440" w:gutter="0" w:footer="0" w:header="0"/>
        </w:sectPr>
      </w:pPr>
    </w:p>
    <w:bookmarkStart w:id="208" w:name="page209"/>
    <w:bookmarkEnd w:id="20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jc w:val="both"/>
        <w:ind w:right="60" w:firstLine="43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Praxis Precision Medicines, Inc. (the “Company”) for the fiscal year ended December 31, 2025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50" w:lineRule="exact"/>
        <w:rPr>
          <w:sz w:val="20"/>
          <w:szCs w:val="20"/>
          <w:color w:val="auto"/>
        </w:rPr>
      </w:pPr>
    </w:p>
    <w:p>
      <w:pPr>
        <w:ind w:left="1000" w:hanging="550"/>
        <w:spacing w:after="0"/>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1000" w:right="760" w:hanging="550"/>
        <w:spacing w:after="0" w:line="291" w:lineRule="auto"/>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00" w:val="left"/>
          <w:tab w:leader="none" w:pos="7800" w:val="left"/>
        </w:tabs>
        <w:rPr>
          <w:sz w:val="20"/>
          <w:szCs w:val="20"/>
          <w:color w:val="auto"/>
        </w:rPr>
      </w:pPr>
      <w:r>
        <w:rPr>
          <w:rFonts w:ascii="Times New Roman" w:cs="Times New Roman" w:eastAsia="Times New Roman" w:hAnsi="Times New Roman"/>
          <w:sz w:val="18"/>
          <w:szCs w:val="18"/>
          <w:color w:val="auto"/>
        </w:rPr>
        <w:t>Date: February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40640</wp:posOffset>
            </wp:positionV>
            <wp:extent cx="31191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6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Marcio Souza</w:t>
      </w:r>
    </w:p>
    <w:p>
      <w:pPr>
        <w:spacing w:after="0" w:line="73"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9" w:lineRule="exact"/>
        <w:rPr>
          <w:sz w:val="20"/>
          <w:szCs w:val="20"/>
          <w:color w:val="auto"/>
        </w:rPr>
      </w:pPr>
    </w:p>
    <w:p>
      <w:pPr>
        <w:ind w:left="20"/>
        <w:spacing w:after="0"/>
        <w:tabs>
          <w:tab w:leader="none" w:pos="5600" w:val="left"/>
          <w:tab w:leader="none" w:pos="7740" w:val="left"/>
        </w:tabs>
        <w:rPr>
          <w:sz w:val="20"/>
          <w:szCs w:val="20"/>
          <w:color w:val="auto"/>
        </w:rPr>
      </w:pPr>
      <w:r>
        <w:rPr>
          <w:rFonts w:ascii="Times New Roman" w:cs="Times New Roman" w:eastAsia="Times New Roman" w:hAnsi="Times New Roman"/>
          <w:sz w:val="18"/>
          <w:szCs w:val="18"/>
          <w:color w:val="auto"/>
        </w:rPr>
        <w:t>Date: February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40640</wp:posOffset>
            </wp:positionV>
            <wp:extent cx="31191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6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Timothy Kelly</w:t>
      </w:r>
    </w:p>
    <w:p>
      <w:pPr>
        <w:spacing w:after="0" w:line="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3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1."/>
      <w:numFmt w:val="decimal"/>
      <w:start w:val="1"/>
    </w:lvl>
  </w:abstractNum>
  <w:abstractNum w:abstractNumId="8">
    <w:nsid w:val="8F2B15E"/>
    <w:multiLevelType w:val="hybridMultilevel"/>
    <w:lvl w:ilvl="0">
      <w:lvlJc w:val="left"/>
      <w:lvlText w:val="%1."/>
      <w:numFmt w:val="decimal"/>
      <w:start w:val="3"/>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lvl w:ilvl="1">
      <w:lvlJc w:val="left"/>
      <w:lvlText w:val="▪"/>
      <w:numFmt w:val="bullet"/>
      <w:start w:val="1"/>
    </w:lvl>
  </w:abstractNum>
  <w:abstractNum w:abstractNumId="56">
    <w:nsid w:val="555C55B5"/>
    <w:multiLevelType w:val="hybridMultilevel"/>
    <w:lvl w:ilvl="0">
      <w:lvlJc w:val="left"/>
      <w:lvlText w:val="•"/>
      <w:numFmt w:val="bullet"/>
      <w:start w:val="1"/>
    </w:lvl>
    <w:lvl w:ilvl="1">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1."/>
      <w:numFmt w:val="decimal"/>
      <w:start w:val="2"/>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1."/>
      <w:numFmt w:val="decimal"/>
      <w:start w:val="7"/>
    </w:lvl>
  </w:abstractNum>
  <w:abstractNum w:abstractNumId="65">
    <w:nsid w:val="1D545C4D"/>
    <w:multiLevelType w:val="hybridMultilevel"/>
    <w:lvl w:ilvl="0">
      <w:lvlJc w:val="left"/>
      <w:lvlText w:val="%1."/>
      <w:numFmt w:val="decimal"/>
      <w:start w:val="8"/>
    </w:lvl>
  </w:abstractNum>
  <w:abstractNum w:abstractNumId="66">
    <w:nsid w:val="59ADEA3D"/>
    <w:multiLevelType w:val="hybridMultilevel"/>
    <w:lvl w:ilvl="0">
      <w:lvlJc w:val="left"/>
      <w:lvlText w:val="%1."/>
      <w:numFmt w:val="decimal"/>
      <w:start w:val="9"/>
    </w:lvl>
  </w:abstractNum>
  <w:abstractNum w:abstractNumId="67">
    <w:nsid w:val="288F1A34"/>
    <w:multiLevelType w:val="hybridMultilevel"/>
    <w:lvl w:ilvl="0">
      <w:lvlJc w:val="left"/>
      <w:lvlText w:val="%1."/>
      <w:numFmt w:val="decimal"/>
      <w:start w:val="10"/>
    </w:lvl>
  </w:abstractNum>
  <w:abstractNum w:abstractNumId="68">
    <w:nsid w:val="2A155DBC"/>
    <w:multiLevelType w:val="hybridMultilevel"/>
    <w:lvl w:ilvl="0">
      <w:lvlJc w:val="left"/>
      <w:lvlText w:val="%1."/>
      <w:numFmt w:val="decimal"/>
      <w:start w:val="11"/>
    </w:lvl>
  </w:abstractNum>
  <w:abstractNum w:abstractNumId="69">
    <w:nsid w:val="1D9F6E5F"/>
    <w:multiLevelType w:val="hybridMultilevel"/>
    <w:lvl w:ilvl="0">
      <w:lvlJc w:val="left"/>
      <w:lvlText w:val="(%1)"/>
      <w:numFmt w:val="lowerRoman"/>
      <w:start w:val="2"/>
    </w:lvl>
  </w:abstractNum>
  <w:abstractNum w:abstractNumId="70">
    <w:nsid w:val="97E1B4E"/>
    <w:multiLevelType w:val="hybridMultilevel"/>
    <w:lvl w:ilvl="0">
      <w:lvlJc w:val="left"/>
      <w:lvlText w:val="(%1)"/>
      <w:numFmt w:val="decimal"/>
      <w:start w:val="23"/>
    </w:lvl>
  </w:abstractNum>
  <w:abstractNum w:abstractNumId="71">
    <w:nsid w:val="51088277"/>
    <w:multiLevelType w:val="hybridMultilevel"/>
    <w:lvl w:ilvl="0">
      <w:lvlJc w:val="left"/>
      <w:lvlText w:val="(%1)"/>
      <w:numFmt w:val="decimal"/>
      <w:start w:val="23"/>
    </w:lvl>
  </w:abstractNum>
  <w:abstractNum w:abstractNumId="72">
    <w:nsid w:val="1CA0C5FA"/>
    <w:multiLevelType w:val="hybridMultilevel"/>
    <w:lvl w:ilvl="0">
      <w:lvlJc w:val="left"/>
      <w:lvlText w:val="(%1)"/>
      <w:numFmt w:val="lowerLetter"/>
      <w:start w:val="1"/>
    </w:lvl>
  </w:abstractNum>
  <w:abstractNum w:abstractNumId="73">
    <w:nsid w:val="53584BCB"/>
    <w:multiLevelType w:val="hybridMultilevel"/>
    <w:lvl w:ilvl="0">
      <w:lvlJc w:val="left"/>
      <w:lvlText w:val="(%1)"/>
      <w:numFmt w:val="lowerLetter"/>
      <w:start w:val="1"/>
    </w:lvl>
  </w:abstractNum>
  <w:abstractNum w:abstractNumId="74">
    <w:nsid w:val="415E286C"/>
    <w:multiLevelType w:val="hybridMultilevel"/>
    <w:lvl w:ilvl="0">
      <w:lvlJc w:val="left"/>
      <w:lvlText w:val="(%1)"/>
      <w:numFmt w:val="lowerLetter"/>
      <w:start w:val="2"/>
    </w:lvl>
  </w:abstractNum>
  <w:abstractNum w:abstractNumId="75">
    <w:nsid w:val="7C58FD05"/>
    <w:multiLevelType w:val="hybridMultilevel"/>
    <w:lvl w:ilvl="0">
      <w:lvlJc w:val="left"/>
      <w:lvlText w:val="(%1)"/>
      <w:numFmt w:val="decimal"/>
      <w:start w:val="1"/>
    </w:lvl>
  </w:abstractNum>
  <w:abstractNum w:abstractNumId="76">
    <w:nsid w:val="23D86AAC"/>
    <w:multiLevelType w:val="hybridMultilevel"/>
    <w:lvl w:ilvl="0">
      <w:lvlJc w:val="left"/>
      <w:lvlText w:val="(%1)"/>
      <w:numFmt w:val="decimal"/>
      <w:start w:val="1"/>
    </w:lvl>
  </w:abstractNum>
  <w:abstractNum w:abstractNumId="77">
    <w:nsid w:val="45E6D486"/>
    <w:multiLevelType w:val="hybridMultilevel"/>
    <w:lvl w:ilvl="0">
      <w:lvlJc w:val="left"/>
      <w:lvlText w:val="*"/>
      <w:numFmt w:val="bullet"/>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1."/>
      <w:numFmt w:val="decimal"/>
      <w:start w:val="1"/>
    </w:lvl>
  </w:abstractNum>
  <w:abstractNum w:abstractNumId="82">
    <w:nsid w:val="78DF6A55"/>
    <w:multiLevelType w:val="hybridMultilevel"/>
    <w:lvl w:ilvl="0">
      <w:lvlJc w:val="left"/>
      <w:lvlText w:val="%1."/>
      <w:numFmt w:val="decimal"/>
      <w:start w:val="2"/>
    </w:lvl>
    <w:lvl w:ilvl="1">
      <w:lvlJc w:val="left"/>
      <w:lvlText w:val="(%2)"/>
      <w:numFmt w:val="lowerLetter"/>
      <w:start w:val="1"/>
    </w:lvl>
  </w:abstractNum>
  <w:abstractNum w:abstractNumId="83">
    <w:nsid w:val="39B7AAA2"/>
    <w:multiLevelType w:val="hybridMultilevel"/>
    <w:lvl w:ilvl="0">
      <w:lvlJc w:val="left"/>
      <w:lvlText w:val="%1"/>
      <w:numFmt w:val="decimal"/>
      <w:start w:val="1"/>
    </w:lvl>
    <w:lvl w:ilvl="1">
      <w:lvlJc w:val="left"/>
      <w:lvlText w:val="(%2)"/>
      <w:numFmt w:val="lowerLetter"/>
      <w:start w:val="2"/>
    </w:lvl>
  </w:abstractNum>
  <w:abstractNum w:abstractNumId="84">
    <w:nsid w:val="2B0D8DBE"/>
    <w:multiLevelType w:val="hybridMultilevel"/>
    <w:lvl w:ilvl="0">
      <w:lvlJc w:val="left"/>
      <w:lvlText w:val="%1."/>
      <w:numFmt w:val="decimal"/>
      <w:start w:val="4"/>
    </w:lvl>
    <w:lvl w:ilvl="1">
      <w:lvlJc w:val="left"/>
      <w:lvlText w:val="%2"/>
      <w:numFmt w:val="lowerLetter"/>
      <w:start w:val="1"/>
    </w:lvl>
  </w:abstractNum>
  <w:abstractNum w:abstractNumId="85">
    <w:nsid w:val="6C80EC70"/>
    <w:multiLevelType w:val="hybridMultilevel"/>
    <w:lvl w:ilvl="0">
      <w:lvlJc w:val="left"/>
      <w:lvlText w:val="%1."/>
      <w:numFmt w:val="decimal"/>
      <w:start w:val="5"/>
    </w:lvl>
  </w:abstractNum>
  <w:abstractNum w:abstractNumId="86">
    <w:nsid w:val="379E21B5"/>
    <w:multiLevelType w:val="hybridMultilevel"/>
    <w:lvl w:ilvl="0">
      <w:lvlJc w:val="left"/>
      <w:lvlText w:val="%1."/>
      <w:numFmt w:val="decimal"/>
      <w:start w:val="6"/>
    </w:lvl>
  </w:abstractNum>
  <w:abstractNum w:abstractNumId="87">
    <w:nsid w:val="69E373"/>
    <w:multiLevelType w:val="hybridMultilevel"/>
    <w:lvl w:ilvl="0">
      <w:lvlJc w:val="left"/>
      <w:lvlText w:val="(%1)"/>
      <w:numFmt w:val="lowerRoman"/>
      <w:start w:val="1"/>
    </w:lvl>
  </w:abstractNum>
  <w:abstractNum w:abstractNumId="88">
    <w:nsid w:val="2C27173B"/>
    <w:multiLevelType w:val="hybridMultilevel"/>
    <w:lvl w:ilvl="0">
      <w:lvlJc w:val="left"/>
      <w:lvlText w:val="%1."/>
      <w:numFmt w:val="decimal"/>
      <w:start w:val="7"/>
    </w:lvl>
  </w:abstractNum>
  <w:abstractNum w:abstractNumId="89">
    <w:nsid w:val="4C9B0904"/>
    <w:multiLevelType w:val="hybridMultilevel"/>
    <w:lvl w:ilvl="0">
      <w:lvlJc w:val="left"/>
      <w:lvlText w:val="%1."/>
      <w:numFmt w:val="decimal"/>
      <w:start w:val="8"/>
    </w:lvl>
  </w:abstractNum>
  <w:abstractNum w:abstractNumId="90">
    <w:nsid w:val="6AA7B75C"/>
    <w:multiLevelType w:val="hybridMultilevel"/>
    <w:lvl w:ilvl="0">
      <w:lvlJc w:val="left"/>
      <w:lvlText w:val="%1."/>
      <w:numFmt w:val="decimal"/>
      <w:start w:val="9"/>
    </w:lvl>
  </w:abstractNum>
  <w:abstractNum w:abstractNumId="91">
    <w:nsid w:val="1DF029D3"/>
    <w:multiLevelType w:val="hybridMultilevel"/>
    <w:lvl w:ilvl="0">
      <w:lvlJc w:val="left"/>
      <w:lvlText w:val="%1."/>
      <w:numFmt w:val="decimal"/>
      <w:start w:val="10"/>
    </w:lvl>
  </w:abstractNum>
  <w:abstractNum w:abstractNumId="92">
    <w:nsid w:val="5675FF36"/>
    <w:multiLevelType w:val="hybridMultilevel"/>
    <w:lvl w:ilvl="0">
      <w:lvlJc w:val="left"/>
      <w:lvlText w:val="%1."/>
      <w:numFmt w:val="decimal"/>
      <w:start w:val="11"/>
    </w:lvl>
  </w:abstractNum>
  <w:abstractNum w:abstractNumId="93">
    <w:nsid w:val="3DD15094"/>
    <w:multiLevelType w:val="hybridMultilevel"/>
    <w:lvl w:ilvl="0">
      <w:lvlJc w:val="left"/>
      <w:lvlText w:val="%1."/>
      <w:numFmt w:val="decimal"/>
      <w:start w:val="1"/>
    </w:lvl>
  </w:abstractNum>
  <w:abstractNum w:abstractNumId="94">
    <w:nsid w:val="3DB012B3"/>
    <w:multiLevelType w:val="hybridMultilevel"/>
    <w:lvl w:ilvl="0">
      <w:lvlJc w:val="left"/>
      <w:lvlText w:val="(%1)"/>
      <w:numFmt w:val="lowerRoman"/>
      <w:start w:val="1"/>
    </w:lvl>
  </w:abstractNum>
  <w:abstractNum w:abstractNumId="95">
    <w:nsid w:val="2708C9AF"/>
    <w:multiLevelType w:val="hybridMultilevel"/>
    <w:lvl w:ilvl="0">
      <w:lvlJc w:val="left"/>
      <w:lvlText w:val="(%1)"/>
      <w:numFmt w:val="lowerRoman"/>
      <w:start w:val="3"/>
    </w:lvl>
  </w:abstractNum>
  <w:abstractNum w:abstractNumId="96">
    <w:nsid w:val="5B25ACE2"/>
    <w:multiLevelType w:val="hybridMultilevel"/>
    <w:lvl w:ilvl="0">
      <w:lvlJc w:val="left"/>
      <w:lvlText w:val="%1."/>
      <w:numFmt w:val="decimal"/>
      <w:start w:val="2"/>
    </w:lvl>
  </w:abstractNum>
  <w:abstractNum w:abstractNumId="97">
    <w:nsid w:val="175DFCF0"/>
    <w:multiLevelType w:val="hybridMultilevel"/>
    <w:lvl w:ilvl="0">
      <w:lvlJc w:val="left"/>
      <w:lvlText w:val="%1."/>
      <w:numFmt w:val="decimal"/>
      <w:start w:val="3"/>
    </w:lvl>
  </w:abstractNum>
  <w:abstractNum w:abstractNumId="98">
    <w:nsid w:val="4F97E3E4"/>
    <w:multiLevelType w:val="hybridMultilevel"/>
    <w:lvl w:ilvl="0">
      <w:lvlJc w:val="left"/>
      <w:lvlText w:val="%1."/>
      <w:numFmt w:val="decimal"/>
      <w:start w:val="4"/>
    </w:lvl>
  </w:abstractNum>
  <w:abstractNum w:abstractNumId="99">
    <w:nsid w:val="53B0A9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00">
    <w:nsid w:val="34FD6B4F"/>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2"/>
    </w:lvl>
  </w:abstractNum>
  <w:abstractNum w:abstractNumId="101">
    <w:nsid w:val="5915FF32"/>
    <w:multiLevelType w:val="hybridMultilevel"/>
    <w:lvl w:ilvl="0">
      <w:lvlJc w:val="left"/>
      <w:lvlText w:val="(%1)"/>
      <w:numFmt w:val="lowerRoman"/>
      <w:start w:val="3"/>
    </w:lvl>
  </w:abstractNum>
  <w:abstractNum w:abstractNumId="102">
    <w:nsid w:val="56438D15"/>
    <w:multiLevelType w:val="hybridMultilevel"/>
    <w:lvl w:ilvl="0">
      <w:lvlJc w:val="left"/>
      <w:lvlText w:val="(%1)"/>
      <w:numFmt w:val="lowerRoman"/>
      <w:start w:val="1"/>
    </w:lvl>
    <w:lvl w:ilvl="1">
      <w:lvlJc w:val="left"/>
      <w:lvlText w:val="(%2)"/>
      <w:numFmt w:val="lowerLetter"/>
      <w:start w:val="1"/>
    </w:lvl>
  </w:abstractNum>
  <w:abstractNum w:abstractNumId="103">
    <w:nsid w:val="519E3149"/>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3"/>
    </w:lvl>
  </w:abstractNum>
  <w:abstractNum w:abstractNumId="104">
    <w:nsid w:val="2C6E4AFD"/>
    <w:multiLevelType w:val="hybridMultilevel"/>
    <w:lvl w:ilvl="0">
      <w:lvlJc w:val="left"/>
      <w:lvlText w:val="(%1)"/>
      <w:numFmt w:val="lowerLetter"/>
      <w:start w:val="35"/>
    </w:lvl>
    <w:lvl w:ilvl="1">
      <w:lvlJc w:val="left"/>
      <w:lvlText w:val="(%2)"/>
      <w:numFmt w:val="lowerRoman"/>
      <w:start w:val="3"/>
    </w:lvl>
    <w:lvl w:ilvl="2">
      <w:lvlJc w:val="left"/>
      <w:lvlText w:val="(%3)"/>
      <w:numFmt w:val="lowerLetter"/>
      <w:start w:val="1"/>
    </w:lvl>
  </w:abstractNum>
  <w:abstractNum w:abstractNumId="105">
    <w:nsid w:val="17A1B582"/>
    <w:multiLevelType w:val="hybridMultilevel"/>
    <w:lvl w:ilvl="0">
      <w:lvlJc w:val="left"/>
      <w:lvlText w:val="(%1)"/>
      <w:numFmt w:val="lowerLetter"/>
      <w:start w:val="2"/>
    </w:lvl>
  </w:abstractNum>
  <w:abstractNum w:abstractNumId="106">
    <w:nsid w:val="4DF72E4E"/>
    <w:multiLevelType w:val="hybridMultilevel"/>
    <w:lvl w:ilvl="0">
      <w:lvlJc w:val="left"/>
      <w:lvlText w:val="(%1)"/>
      <w:numFmt w:val="lowerRoman"/>
      <w:start w:val="1"/>
    </w:lvl>
  </w:abstractNum>
  <w:abstractNum w:abstractNumId="107">
    <w:nsid w:val="5046B5A9"/>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108">
    <w:nsid w:val="5D888A08"/>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109">
    <w:nsid w:val="2A082C70"/>
    <w:multiLevelType w:val="hybridMultilevel"/>
    <w:lvl w:ilvl="0">
      <w:lvlJc w:val="left"/>
      <w:lvlText w:val="%1."/>
      <w:numFmt w:val="decimal"/>
      <w:start w:val="8"/>
    </w:lvl>
  </w:abstractNum>
  <w:abstractNum w:abstractNumId="110">
    <w:nsid w:val="5EC6AFD4"/>
    <w:multiLevelType w:val="hybridMultilevel"/>
    <w:lvl w:ilvl="0">
      <w:lvlJc w:val="left"/>
      <w:lvlText w:val="%1."/>
      <w:numFmt w:val="decimal"/>
      <w:start w:val="9"/>
    </w:lvl>
  </w:abstractNum>
  <w:abstractNum w:abstractNumId="111">
    <w:nsid w:val="19E21BB2"/>
    <w:multiLevelType w:val="hybridMultilevel"/>
    <w:lvl w:ilvl="0">
      <w:lvlJc w:val="left"/>
      <w:lvlText w:val="%1."/>
      <w:numFmt w:val="decimal"/>
      <w:start w:val="10"/>
    </w:lvl>
  </w:abstractNum>
  <w:abstractNum w:abstractNumId="112">
    <w:nsid w:val="75E0858A"/>
    <w:multiLevelType w:val="hybridMultilevel"/>
    <w:lvl w:ilvl="0">
      <w:lvlJc w:val="left"/>
      <w:lvlText w:val="%1."/>
      <w:numFmt w:val="decimal"/>
      <w:start w:val="11"/>
    </w:lvl>
  </w:abstractNum>
  <w:abstractNum w:abstractNumId="113">
    <w:nsid w:val="57A61A29"/>
    <w:multiLevelType w:val="hybridMultilevel"/>
    <w:lvl w:ilvl="0">
      <w:lvlJc w:val="left"/>
      <w:lvlText w:val="%1."/>
      <w:numFmt w:val="decimal"/>
      <w:start w:val="1"/>
    </w:lvl>
    <w:lvl w:ilvl="1">
      <w:lvlJc w:val="left"/>
      <w:lvlText w:val="(%2)"/>
      <w:numFmt w:val="lowerRoman"/>
      <w:start w:val="1"/>
    </w:lvl>
  </w:abstractNum>
  <w:abstractNum w:abstractNumId="114">
    <w:nsid w:val="5399C654"/>
    <w:multiLevelType w:val="hybridMultilevel"/>
    <w:lvl w:ilvl="0">
      <w:lvlJc w:val="left"/>
      <w:lvlText w:val="%1."/>
      <w:numFmt w:val="decimal"/>
      <w:start w:val="4"/>
    </w:lvl>
  </w:abstractNum>
  <w:abstractNum w:abstractNumId="115">
    <w:nsid w:val="20EE1348"/>
    <w:multiLevelType w:val="hybridMultilevel"/>
    <w:lvl w:ilvl="0">
      <w:lvlJc w:val="left"/>
      <w:lvlText w:val="%1"/>
      <w:numFmt w:val="decimal"/>
      <w:start w:val="1"/>
    </w:lvl>
    <w:lvl w:ilvl="1">
      <w:lvlJc w:val="left"/>
      <w:lvlText w:val="(%2)"/>
      <w:numFmt w:val="lowerLetter"/>
      <w:start w:val="1"/>
    </w:lvl>
  </w:abstractNum>
  <w:abstractNum w:abstractNumId="116">
    <w:nsid w:val="4427069A"/>
    <w:multiLevelType w:val="hybridMultilevel"/>
    <w:lvl w:ilvl="0">
      <w:lvlJc w:val="left"/>
      <w:lvlText w:val="(%1)"/>
      <w:numFmt w:val="decimal"/>
      <w:start w:val="2"/>
    </w:lvl>
    <w:lvl w:ilvl="1">
      <w:lvlJc w:val="left"/>
      <w:lvlText w:val="%2"/>
      <w:numFmt w:val="lowerLetter"/>
      <w:start w:val="1"/>
    </w:lvl>
  </w:abstractNum>
  <w:abstractNum w:abstractNumId="117">
    <w:nsid w:val="B37E80A"/>
    <w:multiLevelType w:val="hybridMultilevel"/>
    <w:lvl w:ilvl="0">
      <w:lvlJc w:val="left"/>
      <w:lvlText w:val="%1"/>
      <w:numFmt w:val="lowerLetter"/>
      <w:start w:val="1"/>
    </w:lvl>
    <w:lvl w:ilvl="1">
      <w:lvlJc w:val="left"/>
      <w:lvlText w:val="(%2)"/>
      <w:numFmt w:val="lowerLetter"/>
      <w:start w:val="2"/>
    </w:lvl>
  </w:abstractNum>
  <w:abstractNum w:abstractNumId="118">
    <w:nsid w:val="2157F6BC"/>
    <w:multiLevelType w:val="hybridMultilevel"/>
    <w:lvl w:ilvl="0">
      <w:lvlJc w:val="left"/>
      <w:lvlText w:val="(%1)"/>
      <w:numFmt w:val="lowerLetter"/>
      <w:start w:val="61"/>
    </w:lvl>
    <w:lvl w:ilvl="1">
      <w:lvlJc w:val="left"/>
      <w:lvlText w:val="%2"/>
      <w:numFmt w:val="lowerLetter"/>
      <w:start w:val="1"/>
    </w:lvl>
  </w:abstractNum>
  <w:abstractNum w:abstractNumId="119">
    <w:nsid w:val="704E1DD5"/>
    <w:multiLevelType w:val="hybridMultilevel"/>
    <w:lvl w:ilvl="0">
      <w:lvlJc w:val="left"/>
      <w:lvlText w:val="%1."/>
      <w:numFmt w:val="decimal"/>
      <w:start w:val="5"/>
    </w:lvl>
  </w:abstractNum>
  <w:abstractNum w:abstractNumId="120">
    <w:nsid w:val="57D2F10E"/>
    <w:multiLevelType w:val="hybridMultilevel"/>
    <w:lvl w:ilvl="0">
      <w:lvlJc w:val="left"/>
      <w:lvlText w:val="%1."/>
      <w:numFmt w:val="upperLetter"/>
      <w:start w:val="1"/>
    </w:lvl>
  </w:abstractNum>
  <w:abstractNum w:abstractNumId="121">
    <w:nsid w:val="BFFAE18"/>
    <w:multiLevelType w:val="hybridMultilevel"/>
    <w:lvl w:ilvl="0">
      <w:lvlJc w:val="left"/>
      <w:lvlText w:val="%1."/>
      <w:numFmt w:val="decimal"/>
      <w:start w:val="1"/>
    </w:lvl>
  </w:abstractNum>
  <w:abstractNum w:abstractNumId="122">
    <w:nsid w:val="E3E47A8"/>
    <w:multiLevelType w:val="hybridMultilevel"/>
    <w:lvl w:ilvl="0">
      <w:lvlJc w:val="left"/>
      <w:lvlText w:val="%1."/>
      <w:numFmt w:val="decimal"/>
      <w:start w:val="3"/>
    </w:lvl>
  </w:abstractNum>
  <w:abstractNum w:abstractNumId="123">
    <w:nsid w:val="2E48F044"/>
    <w:multiLevelType w:val="hybridMultilevel"/>
    <w:lvl w:ilvl="0">
      <w:lvlJc w:val="left"/>
      <w:lvlText w:val="%1."/>
      <w:numFmt w:val="decimal"/>
      <w:start w:val="4"/>
    </w:lvl>
  </w:abstractNum>
  <w:abstractNum w:abstractNumId="124">
    <w:nsid w:val="49D0FEAC"/>
    <w:multiLevelType w:val="hybridMultilevel"/>
    <w:lvl w:ilvl="0">
      <w:lvlJc w:val="left"/>
      <w:lvlText w:val="%1."/>
      <w:numFmt w:val="decimal"/>
      <w:start w:val="5"/>
    </w:lvl>
  </w:abstractNum>
  <w:abstractNum w:abstractNumId="125">
    <w:nsid w:val="4BEE5A5B"/>
    <w:multiLevelType w:val="hybridMultilevel"/>
    <w:lvl w:ilvl="0">
      <w:lvlJc w:val="left"/>
      <w:lvlText w:val="%1."/>
      <w:numFmt w:val="decimal"/>
      <w:start w:val="7"/>
    </w:lvl>
  </w:abstractNum>
  <w:abstractNum w:abstractNumId="126">
    <w:nsid w:val="5551B9F3"/>
    <w:multiLevelType w:val="hybridMultilevel"/>
    <w:lvl w:ilvl="0">
      <w:lvlJc w:val="left"/>
      <w:lvlText w:val="(%1)"/>
      <w:numFmt w:val="lowerLetter"/>
      <w:start w:val="1"/>
    </w:lvl>
  </w:abstractNum>
  <w:abstractNum w:abstractNumId="127">
    <w:nsid w:val="24F6AB8E"/>
    <w:multiLevelType w:val="hybridMultilevel"/>
    <w:lvl w:ilvl="0">
      <w:lvlJc w:val="left"/>
      <w:lvlText w:val="(%1)"/>
      <w:numFmt w:val="lowerLetter"/>
      <w:start w:val="4"/>
    </w:lvl>
  </w:abstractNum>
  <w:abstractNum w:abstractNumId="128">
    <w:nsid w:val="634C574C"/>
    <w:multiLevelType w:val="hybridMultilevel"/>
    <w:lvl w:ilvl="0">
      <w:lvlJc w:val="left"/>
      <w:lvlText w:val="%1."/>
      <w:numFmt w:val="decimal"/>
      <w:start w:val="11"/>
    </w:lvl>
  </w:abstractNum>
  <w:abstractNum w:abstractNumId="129">
    <w:nsid w:val="24E99DD7"/>
    <w:multiLevelType w:val="hybridMultilevel"/>
    <w:lvl w:ilvl="0">
      <w:lvlJc w:val="left"/>
      <w:lvlText w:val="(%1)"/>
      <w:numFmt w:val="lowerLetter"/>
      <w:start w:val="2"/>
    </w:lvl>
  </w:abstractNum>
  <w:abstractNum w:abstractNumId="130">
    <w:nsid w:val="2A31B62D"/>
    <w:multiLevelType w:val="hybridMultilevel"/>
    <w:lvl w:ilvl="0">
      <w:lvlJc w:val="left"/>
      <w:lvlText w:val="%1."/>
      <w:numFmt w:val="decimal"/>
      <w:start w:val="12"/>
    </w:lvl>
  </w:abstractNum>
  <w:abstractNum w:abstractNumId="131">
    <w:nsid w:val="1849C29B"/>
    <w:multiLevelType w:val="hybridMultilevel"/>
    <w:lvl w:ilvl="0">
      <w:lvlJc w:val="left"/>
      <w:lvlText w:val="%1."/>
      <w:numFmt w:val="decimal"/>
      <w:start w:val="13"/>
    </w:lvl>
  </w:abstractNum>
  <w:abstractNum w:abstractNumId="132">
    <w:nsid w:val="7DFF9D09"/>
    <w:multiLevelType w:val="hybridMultilevel"/>
    <w:lvl w:ilvl="0">
      <w:lvlJc w:val="left"/>
      <w:lvlText w:val="%1."/>
      <w:numFmt w:val="decimal"/>
      <w:start w:val="1"/>
    </w:lvl>
  </w:abstractNum>
  <w:abstractNum w:abstractNumId="133">
    <w:nsid w:val="754342"/>
    <w:multiLevelType w:val="hybridMultilevel"/>
    <w:lvl w:ilvl="0">
      <w:lvlJc w:val="left"/>
      <w:lvlText w:val="%1."/>
      <w:numFmt w:val="decimal"/>
      <w:start w:val="1"/>
    </w:lvl>
    <w:lvl w:ilvl="1">
      <w:lvlJc w:val="left"/>
      <w:lvlText w:val="(%2)"/>
      <w:numFmt w:val="lowerLetter"/>
      <w:start w:val="1"/>
    </w:lvl>
  </w:abstractNum>
  <w:abstractNum w:abstractNumId="134">
    <w:nsid w:val="69E7F3E5"/>
    <w:multiLevelType w:val="hybridMultilevel"/>
    <w:lvl w:ilvl="0">
      <w:lvlJc w:val="left"/>
      <w:lvlText w:val="%1"/>
      <w:numFmt w:val="decimal"/>
      <w:start w:val="1"/>
    </w:lvl>
    <w:lvl w:ilvl="1">
      <w:lvlJc w:val="left"/>
      <w:lvlText w:val="(%2)"/>
      <w:numFmt w:val="lowerLetter"/>
      <w:start w:val="3"/>
    </w:lvl>
  </w:abstractNum>
  <w:abstractNum w:abstractNumId="135">
    <w:nsid w:val="2A6DE806"/>
    <w:multiLevelType w:val="hybridMultilevel"/>
    <w:lvl w:ilvl="0">
      <w:lvlJc w:val="left"/>
      <w:lvlText w:val="%1."/>
      <w:numFmt w:val="decimal"/>
      <w:start w:val="4"/>
    </w:lvl>
    <w:lvl w:ilvl="1">
      <w:lvlJc w:val="left"/>
      <w:lvlText w:val="%2"/>
      <w:numFmt w:val="lowerLetter"/>
      <w:start w:val="1"/>
    </w:lvl>
  </w:abstractNum>
  <w:abstractNum w:abstractNumId="136">
    <w:nsid w:val="1816F8C4"/>
    <w:multiLevelType w:val="hybridMultilevel"/>
    <w:lvl w:ilvl="0">
      <w:lvlJc w:val="left"/>
      <w:lvlText w:val="%1."/>
      <w:numFmt w:val="decimal"/>
      <w:start w:val="7"/>
    </w:lvl>
    <w:lvl w:ilvl="1">
      <w:lvlJc w:val="left"/>
      <w:lvlText w:val="(%2)"/>
      <w:numFmt w:val="lowerLetter"/>
      <w:start w:val="1"/>
    </w:lvl>
  </w:abstractNum>
  <w:abstractNum w:abstractNumId="137">
    <w:nsid w:val="37DF2233"/>
    <w:multiLevelType w:val="hybridMultilevel"/>
    <w:lvl w:ilvl="0">
      <w:lvlJc w:val="left"/>
      <w:lvlText w:val="(%1)"/>
      <w:numFmt w:val="decimal"/>
      <w:start w:val="30"/>
    </w:lvl>
    <w:lvl w:ilvl="1">
      <w:lvlJc w:val="left"/>
      <w:lvlText w:val="%2."/>
      <w:numFmt w:val="decimal"/>
      <w:start w:val="14"/>
    </w:lvl>
    <w:lvl w:ilvl="2">
      <w:lvlJc w:val="left"/>
      <w:lvlText w:val="(%3)"/>
      <w:numFmt w:val="lowerLetter"/>
      <w:start w:val="2"/>
    </w:lvl>
  </w:abstractNum>
  <w:abstractNum w:abstractNumId="138">
    <w:nsid w:val="7AB49D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9">
    <w:nsid w:val="759F82CD"/>
    <w:multiLevelType w:val="hybridMultilevel"/>
    <w:lvl w:ilvl="0">
      <w:lvlJc w:val="left"/>
      <w:lvlText w:val="%1."/>
      <w:numFmt w:val="decimal"/>
      <w:start w:val="13"/>
    </w:lvl>
    <w:lvl w:ilvl="1">
      <w:lvlJc w:val="left"/>
      <w:lvlText w:val="%2."/>
      <w:numFmt w:val="decimal"/>
      <w:start w:val="15"/>
    </w:lvl>
    <w:lvl w:ilvl="2">
      <w:lvlJc w:val="left"/>
      <w:lvlText w:val="(%3)"/>
      <w:numFmt w:val="lowerLetter"/>
      <w:start w:val="2"/>
    </w:lvl>
  </w:abstractNum>
  <w:abstractNum w:abstractNumId="140">
    <w:nsid w:val="61E74EA3"/>
    <w:multiLevelType w:val="hybridMultilevel"/>
    <w:lvl w:ilvl="0">
      <w:lvlJc w:val="left"/>
      <w:lvlText w:val="&amp;"/>
      <w:numFmt w:val="bullet"/>
      <w:start w:val="1"/>
    </w:lvl>
    <w:lvl w:ilvl="1">
      <w:lvlJc w:val="left"/>
      <w:lvlText w:val="%2."/>
      <w:numFmt w:val="decimal"/>
      <w:start w:val="19"/>
    </w:lvl>
    <w:lvl w:ilvl="2">
      <w:lvlJc w:val="left"/>
      <w:lvlText w:val="%3"/>
      <w:numFmt w:val="lowerLetter"/>
      <w:start w:val="1"/>
    </w:lvl>
  </w:abstractNum>
  <w:abstractNum w:abstractNumId="141">
    <w:nsid w:val="597B4D84"/>
    <w:multiLevelType w:val="hybridMultilevel"/>
    <w:lvl w:ilvl="0">
      <w:lvlJc w:val="left"/>
      <w:lvlText w:val="&amp;"/>
      <w:numFmt w:val="bullet"/>
      <w:start w:val="1"/>
    </w:lvl>
    <w:lvl w:ilvl="1">
      <w:lvlJc w:val="left"/>
      <w:lvlText w:val="%2."/>
      <w:numFmt w:val="decimal"/>
      <w:start w:val="22"/>
    </w:lvl>
    <w:lvl w:ilvl="2">
      <w:lvlJc w:val="left"/>
      <w:lvlText w:val="(%3)"/>
      <w:numFmt w:val="lowerLetter"/>
      <w:start w:val="1"/>
    </w:lvl>
  </w:abstractNum>
  <w:abstractNum w:abstractNumId="142">
    <w:nsid w:val="F819E7F"/>
    <w:multiLevelType w:val="hybridMultilevel"/>
    <w:lvl w:ilvl="0">
      <w:lvlJc w:val="left"/>
      <w:lvlText w:val="(%1)"/>
      <w:numFmt w:val="lowerLetter"/>
      <w:start w:val="3"/>
    </w:lvl>
  </w:abstractNum>
  <w:abstractNum w:abstractNumId="143">
    <w:nsid w:val="57C7D42D"/>
    <w:multiLevelType w:val="hybridMultilevel"/>
    <w:lvl w:ilvl="0">
      <w:lvlJc w:val="left"/>
      <w:lvlText w:val="(%1)"/>
      <w:numFmt w:val="lowerLetter"/>
      <w:start w:val="7"/>
    </w:lvl>
  </w:abstractNum>
  <w:abstractNum w:abstractNumId="144">
    <w:nsid w:val="312167AD"/>
    <w:multiLevelType w:val="hybridMultilevel"/>
    <w:lvl w:ilvl="0">
      <w:lvlJc w:val="left"/>
      <w:lvlText w:val="(%1)"/>
      <w:numFmt w:val="decimal"/>
      <w:start w:val="1"/>
    </w:lvl>
  </w:abstractNum>
  <w:abstractNum w:abstractNumId="145">
    <w:nsid w:val="631B64D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46">
    <w:nsid w:val="78B5E77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jpe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176" Type="http://schemas.openxmlformats.org/officeDocument/2006/relationships/hyperlink" Target="https://www.sec.gov/Archives/edgar/data/1689548/000119312520272877/d94620dex31.htm" TargetMode="External"/><Relationship Id="rId177" Type="http://schemas.openxmlformats.org/officeDocument/2006/relationships/hyperlink" Target="https://www.sec.gov/Archives/edgar/data/1689548/000168954823000162/exhibit31praxis-reversesto.htm" TargetMode="External"/><Relationship Id="rId178" Type="http://schemas.openxmlformats.org/officeDocument/2006/relationships/hyperlink" Target="https://www.sec.gov/Archives/edgar/data/1689548/000110465922002260/tm222120d1_ex3-1.htm" TargetMode="External"/><Relationship Id="rId179" Type="http://schemas.openxmlformats.org/officeDocument/2006/relationships/hyperlink" Target="https://www.sec.gov/Archives/edgar/data/1689548/000119312520266699/d945651dex41.htm" TargetMode="External"/><Relationship Id="rId180" Type="http://schemas.openxmlformats.org/officeDocument/2006/relationships/hyperlink" Target="https://www.sec.gov/Archives/edgar/data/1689548/000110465921133741/tm2131445d2_ex4-2.htm" TargetMode="External"/><Relationship Id="rId181" Type="http://schemas.openxmlformats.org/officeDocument/2006/relationships/hyperlink" Target="https://www.sec.gov/Archives/edgar/data/1689548/000168954822000014/exhibit43-descriptionofsec.htm" TargetMode="External"/><Relationship Id="rId182" Type="http://schemas.openxmlformats.org/officeDocument/2006/relationships/hyperlink" Target="https://www.sec.gov/Archives/edgar/data/1689548/000110465924003764/tm243213d1_ex4-1.htm" TargetMode="External"/><Relationship Id="rId183" Type="http://schemas.openxmlformats.org/officeDocument/2006/relationships/hyperlink" Target="https://www.sec.gov/Archives/edgar/data/1689548/000110465924041158/tm247764d6_ex4-1.htm" TargetMode="External"/><Relationship Id="rId184" Type="http://schemas.openxmlformats.org/officeDocument/2006/relationships/hyperlink" Target="https://www.sec.gov/Archives/edgar/data/1689548/000110465925100488/tm2528989d1_ex4-1.htm" TargetMode="External"/><Relationship Id="rId185" Type="http://schemas.openxmlformats.org/officeDocument/2006/relationships/hyperlink" Target="https://www.sec.gov/Archives/edgar/data/1689548/000119312520266699/d945651dex101.htm" TargetMode="External"/><Relationship Id="rId186" Type="http://schemas.openxmlformats.org/officeDocument/2006/relationships/hyperlink" Target="https://www.sec.gov/Archives/edgar/data/1689548/000119312520254741/d945651dex102.htm" TargetMode="External"/><Relationship Id="rId187" Type="http://schemas.openxmlformats.org/officeDocument/2006/relationships/hyperlink" Target="https://www.sec.gov/Archives/edgar/data/1689548/000168954821000016/exhibit1032017plan.htm" TargetMode="External"/><Relationship Id="rId188" Type="http://schemas.openxmlformats.org/officeDocument/2006/relationships/hyperlink" Target="https://www.sec.gov/Archives/edgar/data/1689548/000168954824000073/praxis-2020stockoptionandi.htm" TargetMode="External"/><Relationship Id="rId189" Type="http://schemas.openxmlformats.org/officeDocument/2006/relationships/hyperlink" Target="https://www.sec.gov/Archives/edgar/data/1689548/000119312520266699/d945651dex105.htm" TargetMode="External"/><Relationship Id="rId190" Type="http://schemas.openxmlformats.org/officeDocument/2006/relationships/hyperlink" Target="https://www.sec.gov/Archives/edgar/data/1689548/000119312520266699/d945651dex106.htm" TargetMode="External"/><Relationship Id="rId193" Type="http://schemas.openxmlformats.org/officeDocument/2006/relationships/hyperlink" Target="https://www.sec.gov/Archives/edgar/data/1689548/000119312520266699/d945651dex107.htm" TargetMode="External"/><Relationship Id="rId194" Type="http://schemas.openxmlformats.org/officeDocument/2006/relationships/hyperlink" Target="https://www.sec.gov/Archives/edgar/data/1689548/000119312520266699/d945651dex108.htm" TargetMode="External"/><Relationship Id="rId195" Type="http://schemas.openxmlformats.org/officeDocument/2006/relationships/hyperlink" Target="https://www.sec.gov/Archives/edgar/data/1689548/000119312520266699/d945651dex109.htm" TargetMode="External"/><Relationship Id="rId196" Type="http://schemas.openxmlformats.org/officeDocument/2006/relationships/hyperlink" Target="https://www.sec.gov/Archives/edgar/data/1689548/000119312520266699/d945651dex1010.htm" TargetMode="External"/><Relationship Id="rId197" Type="http://schemas.openxmlformats.org/officeDocument/2006/relationships/hyperlink" Target="https://www.sec.gov/Archives/edgar/data/1689548/000119312520266699/d945651dex1011.htm" TargetMode="External"/><Relationship Id="rId198" Type="http://schemas.openxmlformats.org/officeDocument/2006/relationships/hyperlink" Target="https://www.sec.gov/Archives/edgar/data/1689548/000110465924008806/tm244488d1_ex99-1.htm" TargetMode="External"/><Relationship Id="rId199" Type="http://schemas.openxmlformats.org/officeDocument/2006/relationships/hyperlink" Target="https://www.sec.gov/Archives/edgar/data/1689548/000168954822000014/exhibit1012.htm" TargetMode="External"/><Relationship Id="rId200" Type="http://schemas.openxmlformats.org/officeDocument/2006/relationships/hyperlink" Target="https://www.sec.gov/Archives/edgar/data/1689548/000168954823000044/exhibit1013-cfoemploymenta.htm" TargetMode="External"/><Relationship Id="rId201" Type="http://schemas.openxmlformats.org/officeDocument/2006/relationships/hyperlink" Target="https://www.sec.gov/Archives/edgar/data/1689548/000168954824000034/exhibit1015_anemploymentag.htm" TargetMode="External"/><Relationship Id="rId202" Type="http://schemas.openxmlformats.org/officeDocument/2006/relationships/hyperlink" Target="https://www.sec.gov/Archives/edgar/data/1689548/000110465924108345/tm2426107d1_ex10-1.htm" TargetMode="External"/><Relationship Id="rId203" Type="http://schemas.openxmlformats.org/officeDocument/2006/relationships/hyperlink" Target="https://www.sec.gov/Archives/edgar/data/1689548/000110465924108345/tm2426107d1_ex10-2.htm" TargetMode="External"/><Relationship Id="rId204" Type="http://schemas.openxmlformats.org/officeDocument/2006/relationships/hyperlink" Target="https://www.sec.gov/Archives/edgar/data/1689548/000110465924108345/tm2426107d1_ex10-3.htm" TargetMode="External"/><Relationship Id="rId205" Type="http://schemas.openxmlformats.org/officeDocument/2006/relationships/hyperlink" Target="https://www.sec.gov/Archives/edgar/data/1689548/000168954826000016/prax-nonxemployeedirectorc.htm" TargetMode="External"/><Relationship Id="rId206" Type="http://schemas.openxmlformats.org/officeDocument/2006/relationships/hyperlink" Target="https://www.sec.gov/Archives/edgar/data/1689548/000119312520254741/d945651dex1015.htm" TargetMode="External"/><Relationship Id="rId207" Type="http://schemas.openxmlformats.org/officeDocument/2006/relationships/hyperlink" Target="https://www.sec.gov/Archives/edgar/data/1689548/000119312520254741/d945651dex1016.htm" TargetMode="External"/><Relationship Id="rId208" Type="http://schemas.openxmlformats.org/officeDocument/2006/relationships/hyperlink" Target="https://www.sec.gov/Archives/edgar/data/1689548/000168954825000040/exhibit19.htm" TargetMode="External"/><Relationship Id="rId211" Type="http://schemas.openxmlformats.org/officeDocument/2006/relationships/hyperlink" Target="https://www.sec.gov/Archives/edgar/data/1689548/000168954824000034/exhibit97_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2026-02-19T07:11:13Z</dcterms:created>
  <dcterms:modified xsi:type="dcterms:W3CDTF">2026-02-19T07:11:13Z</dcterms:modified>
</cp:coreProperties>
</file>