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299464.xml.htm"/>
      <w:bookmarkStart w:id="1" w:name="kswkform4_178129946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Arbuckle Stuart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PRAXIS PRECISION MEDICINES,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99 HIGH STREET, 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Praxis Precision Medicines, Inc.</w:t>
              </w:r>
            </w:hyperlink>
            <w:r>
              <w:rPr/>
              <w:t xml:space="preserve"> [ </w:t>
            </w:r>
            <w:r>
              <w:rPr>
                <w:rFonts w:ascii="Times;serif" w:hAnsi="Times;serif"/>
                <w:color w:val="0000FF"/>
                <w:sz w:val="24"/>
                <w:shd w:fill="FFFFFF" w:val="clear"/>
              </w:rPr>
              <w:t>PRAX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1,371</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2,537</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678"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67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240.66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648</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Mr. Arbuckle was awarded 1,371 restricted stock units. Each restricted stock unit represents a contingent right to receive one share of the Issuer's common stock. The restricted stock units vest in a single annual installment on the earlier of (i) June 10, 2027 or (ii) the date of the Issuer's 2027 annual meeting of stockholders. The restricted stock units may be settled only by delivering shares of the Issuer's common stock, and thus, the grant is being reported in Table 1 as allowed per SEC guidance.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subject to this option shall vest in twelve (12) equal monthly installments occurring on the 10th day of each month, with the first such installment occurring on July 10, 2026 and the final such installment occurring on the earlier of (i) June 10, 2027 or (ii) the date of the Issuer's 2027 annual meeting of stockholders.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Alex Nemiroff,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7290" TargetMode="External"/><Relationship Id="rId5" Type="http://schemas.openxmlformats.org/officeDocument/2006/relationships/hyperlink" Target="http://www.sec.gov/cgi-bin/browse-edgar?action=getcompany&amp;CIK=00016895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729</Words>
  <Characters>3862</Characters>
  <CharactersWithSpaces>4521</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