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79375</wp:posOffset>
            </wp:positionV>
            <wp:extent cx="600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135890</wp:posOffset>
            </wp:positionV>
            <wp:extent cx="600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40" w:hanging="414"/>
        <w:spacing w:after="0" w:line="218" w:lineRule="auto"/>
        <w:tabs>
          <w:tab w:leader="none" w:pos="44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307"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-7620</wp:posOffset>
            </wp:positionV>
            <wp:extent cx="1440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86360</wp:posOffset>
            </wp:positionV>
            <wp:extent cx="600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PRAXIS PRECISION MEDICINES,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117475</wp:posOffset>
            </wp:positionV>
            <wp:extent cx="600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86" w:lineRule="exact"/>
        <w:rPr>
          <w:sz w:val="24"/>
          <w:szCs w:val="24"/>
          <w:color w:val="auto"/>
        </w:rPr>
      </w:pPr>
    </w:p>
    <w:tbl>
      <w:tblPr>
        <w:tblLayout w:type="fixed"/>
        <w:tblInd w:w="700" w:type="dxa"/>
        <w:tblCellMar>
          <w:top w:w="0" w:type="dxa"/>
          <w:left w:w="0" w:type="dxa"/>
          <w:bottom w:w="0" w:type="dxa"/>
          <w:right w:w="0" w:type="dxa"/>
        </w:tblCellMar>
      </w:tblPr>
      <w:tr>
        <w:trPr>
          <w:trHeight w:val="223"/>
        </w:trPr>
        <w:tc>
          <w:tcPr>
            <w:tcW w:w="5280" w:type="dxa"/>
            <w:vAlign w:val="bottom"/>
          </w:tcPr>
          <w:p>
            <w:pPr>
              <w:jc w:val="center"/>
              <w:ind w:right="1143"/>
              <w:spacing w:after="0"/>
              <w:rPr>
                <w:sz w:val="20"/>
                <w:szCs w:val="20"/>
                <w:color w:val="auto"/>
              </w:rPr>
            </w:pPr>
            <w:r>
              <w:rPr>
                <w:rFonts w:ascii="Arial" w:cs="Arial" w:eastAsia="Arial" w:hAnsi="Arial"/>
                <w:sz w:val="16"/>
                <w:szCs w:val="16"/>
                <w:b w:val="1"/>
                <w:bCs w:val="1"/>
                <w:color w:val="auto"/>
                <w:w w:val="99"/>
              </w:rPr>
              <w:t>Delaware</w:t>
            </w:r>
          </w:p>
        </w:tc>
        <w:tc>
          <w:tcPr>
            <w:tcW w:w="3860" w:type="dxa"/>
            <w:vAlign w:val="bottom"/>
          </w:tcPr>
          <w:p>
            <w:pPr>
              <w:jc w:val="right"/>
              <w:ind w:right="821"/>
              <w:spacing w:after="0"/>
              <w:rPr>
                <w:sz w:val="20"/>
                <w:szCs w:val="20"/>
                <w:color w:val="auto"/>
              </w:rPr>
            </w:pPr>
            <w:r>
              <w:rPr>
                <w:rFonts w:ascii="Arial" w:cs="Arial" w:eastAsia="Arial" w:hAnsi="Arial"/>
                <w:sz w:val="16"/>
                <w:szCs w:val="16"/>
                <w:b w:val="1"/>
                <w:bCs w:val="1"/>
                <w:color w:val="auto"/>
              </w:rPr>
              <w:t>47-5195942</w:t>
            </w:r>
          </w:p>
        </w:tc>
      </w:tr>
      <w:tr>
        <w:trPr>
          <w:trHeight w:val="229"/>
        </w:trPr>
        <w:tc>
          <w:tcPr>
            <w:tcW w:w="5280" w:type="dxa"/>
            <w:vAlign w:val="bottom"/>
          </w:tcPr>
          <w:p>
            <w:pPr>
              <w:jc w:val="center"/>
              <w:ind w:right="1143"/>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3860" w:type="dxa"/>
            <w:vAlign w:val="bottom"/>
          </w:tcPr>
          <w:p>
            <w:pPr>
              <w:jc w:val="center"/>
              <w:ind w:left="1121"/>
              <w:spacing w:after="0"/>
              <w:rPr>
                <w:sz w:val="20"/>
                <w:szCs w:val="20"/>
                <w:color w:val="auto"/>
              </w:rPr>
            </w:pPr>
            <w:r>
              <w:rPr>
                <w:rFonts w:ascii="Arial" w:cs="Arial" w:eastAsia="Arial" w:hAnsi="Arial"/>
                <w:sz w:val="16"/>
                <w:szCs w:val="16"/>
                <w:b w:val="1"/>
                <w:bCs w:val="1"/>
                <w:color w:val="auto"/>
              </w:rPr>
              <w:t>(I.R.S. Employer Identification No.)</w:t>
            </w:r>
          </w:p>
        </w:tc>
      </w:tr>
      <w:tr>
        <w:trPr>
          <w:trHeight w:val="317"/>
        </w:trPr>
        <w:tc>
          <w:tcPr>
            <w:tcW w:w="5280" w:type="dxa"/>
            <w:vAlign w:val="bottom"/>
          </w:tcPr>
          <w:p>
            <w:pPr>
              <w:jc w:val="center"/>
              <w:ind w:right="1163"/>
              <w:spacing w:after="0"/>
              <w:rPr>
                <w:sz w:val="20"/>
                <w:szCs w:val="20"/>
                <w:color w:val="auto"/>
              </w:rPr>
            </w:pPr>
            <w:r>
              <w:rPr>
                <w:rFonts w:ascii="Arial" w:cs="Arial" w:eastAsia="Arial" w:hAnsi="Arial"/>
                <w:sz w:val="16"/>
                <w:szCs w:val="16"/>
                <w:b w:val="1"/>
                <w:bCs w:val="1"/>
                <w:color w:val="auto"/>
              </w:rPr>
              <w:t>99 High Street, 30th Floor</w:t>
            </w:r>
          </w:p>
        </w:tc>
        <w:tc>
          <w:tcPr>
            <w:tcW w:w="3860" w:type="dxa"/>
            <w:vAlign w:val="bottom"/>
          </w:tcPr>
          <w:p>
            <w:pPr>
              <w:spacing w:after="0"/>
              <w:rPr>
                <w:sz w:val="24"/>
                <w:szCs w:val="24"/>
                <w:color w:val="auto"/>
              </w:rPr>
            </w:pPr>
          </w:p>
        </w:tc>
      </w:tr>
      <w:tr>
        <w:trPr>
          <w:trHeight w:val="221"/>
        </w:trPr>
        <w:tc>
          <w:tcPr>
            <w:tcW w:w="5280" w:type="dxa"/>
            <w:vAlign w:val="bottom"/>
          </w:tcPr>
          <w:p>
            <w:pPr>
              <w:jc w:val="center"/>
              <w:ind w:right="1143"/>
              <w:spacing w:after="0"/>
              <w:rPr>
                <w:sz w:val="20"/>
                <w:szCs w:val="20"/>
                <w:color w:val="auto"/>
              </w:rPr>
            </w:pPr>
            <w:r>
              <w:rPr>
                <w:rFonts w:ascii="Arial" w:cs="Arial" w:eastAsia="Arial" w:hAnsi="Arial"/>
                <w:sz w:val="16"/>
                <w:szCs w:val="16"/>
                <w:b w:val="1"/>
                <w:bCs w:val="1"/>
                <w:color w:val="auto"/>
              </w:rPr>
              <w:t>Boston, MA</w:t>
            </w:r>
          </w:p>
        </w:tc>
        <w:tc>
          <w:tcPr>
            <w:tcW w:w="3860" w:type="dxa"/>
            <w:vAlign w:val="bottom"/>
          </w:tcPr>
          <w:p>
            <w:pPr>
              <w:jc w:val="right"/>
              <w:ind w:right="1041"/>
              <w:spacing w:after="0"/>
              <w:rPr>
                <w:sz w:val="20"/>
                <w:szCs w:val="20"/>
                <w:color w:val="auto"/>
              </w:rPr>
            </w:pPr>
            <w:r>
              <w:rPr>
                <w:rFonts w:ascii="Arial" w:cs="Arial" w:eastAsia="Arial" w:hAnsi="Arial"/>
                <w:sz w:val="16"/>
                <w:szCs w:val="16"/>
                <w:b w:val="1"/>
                <w:bCs w:val="1"/>
                <w:color w:val="auto"/>
              </w:rPr>
              <w:t>02110</w:t>
            </w:r>
          </w:p>
        </w:tc>
      </w:tr>
      <w:tr>
        <w:trPr>
          <w:trHeight w:val="196"/>
        </w:trPr>
        <w:tc>
          <w:tcPr>
            <w:tcW w:w="5280" w:type="dxa"/>
            <w:vAlign w:val="bottom"/>
          </w:tcPr>
          <w:p>
            <w:pPr>
              <w:jc w:val="center"/>
              <w:ind w:right="1143"/>
              <w:spacing w:after="0"/>
              <w:rPr>
                <w:sz w:val="20"/>
                <w:szCs w:val="20"/>
                <w:color w:val="auto"/>
              </w:rPr>
            </w:pPr>
            <w:r>
              <w:rPr>
                <w:rFonts w:ascii="Arial" w:cs="Arial" w:eastAsia="Arial" w:hAnsi="Arial"/>
                <w:sz w:val="14"/>
                <w:szCs w:val="14"/>
                <w:b w:val="1"/>
                <w:bCs w:val="1"/>
                <w:color w:val="auto"/>
              </w:rPr>
              <w:t>(Address of principal executive offices)</w:t>
            </w:r>
          </w:p>
        </w:tc>
        <w:tc>
          <w:tcPr>
            <w:tcW w:w="3860" w:type="dxa"/>
            <w:vAlign w:val="bottom"/>
          </w:tcPr>
          <w:p>
            <w:pPr>
              <w:jc w:val="center"/>
              <w:ind w:left="1121"/>
              <w:spacing w:after="0"/>
              <w:rPr>
                <w:sz w:val="20"/>
                <w:szCs w:val="20"/>
                <w:color w:val="auto"/>
              </w:rPr>
            </w:pPr>
            <w:r>
              <w:rPr>
                <w:rFonts w:ascii="Arial" w:cs="Arial" w:eastAsia="Arial" w:hAnsi="Arial"/>
                <w:sz w:val="14"/>
                <w:szCs w:val="14"/>
                <w:b w:val="1"/>
                <w:bCs w:val="1"/>
                <w:color w:val="auto"/>
              </w:rPr>
              <w:t>(Zip Code)</w:t>
            </w:r>
          </w:p>
        </w:tc>
      </w:tr>
    </w:tbl>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617-300-8460</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94615</wp:posOffset>
            </wp:positionV>
            <wp:extent cx="600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Title of each class</w:t>
            </w:r>
          </w:p>
        </w:tc>
        <w:tc>
          <w:tcPr>
            <w:tcW w:w="3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16"/>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00" w:type="dxa"/>
            <w:vAlign w:val="bottom"/>
          </w:tcPr>
          <w:p>
            <w:pPr>
              <w:spacing w:after="0"/>
              <w:rPr>
                <w:sz w:val="18"/>
                <w:szCs w:val="18"/>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PRAX</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445"/>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40" w:firstLine="445"/>
        <w:spacing w:after="0" w:line="26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84" w:lineRule="exact"/>
        <w:tabs>
          <w:tab w:leader="none" w:pos="56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01" w:lineRule="exact"/>
        <w:rPr>
          <w:sz w:val="24"/>
          <w:szCs w:val="24"/>
          <w:color w:val="auto"/>
        </w:rPr>
      </w:pPr>
    </w:p>
    <w:p>
      <w:pPr>
        <w:ind w:right="140" w:firstLine="445"/>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32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0" w:lineRule="exact"/>
        <w:rPr>
          <w:sz w:val="24"/>
          <w:szCs w:val="24"/>
          <w:color w:val="auto"/>
        </w:rPr>
      </w:pPr>
    </w:p>
    <w:p>
      <w:pPr>
        <w:ind w:right="220" w:firstLine="445"/>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left="460" w:right="148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9, 2024, the registrant had 17,757,069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5"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This Quarterly Report on Form 10-Q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on Form 10-Q include, but are not limited to, statements about:</w:t>
      </w:r>
    </w:p>
    <w:p>
      <w:pPr>
        <w:spacing w:after="0" w:line="12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clinical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71" w:lineRule="exact"/>
        <w:rPr>
          <w:rFonts w:ascii="Arial" w:cs="Arial" w:eastAsia="Arial" w:hAnsi="Arial"/>
          <w:sz w:val="18"/>
          <w:szCs w:val="18"/>
          <w:color w:val="auto"/>
        </w:rPr>
      </w:pPr>
    </w:p>
    <w:p>
      <w:pPr>
        <w:ind w:left="980" w:right="30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license additional intellectual property relating to our product candidates from third parties and to comply with our existing license agreements and collaboration agreements;</w:t>
      </w:r>
    </w:p>
    <w:p>
      <w:pPr>
        <w:spacing w:after="0" w:line="98" w:lineRule="exact"/>
        <w:rPr>
          <w:rFonts w:ascii="Arial" w:cs="Arial" w:eastAsia="Arial" w:hAnsi="Arial"/>
          <w:sz w:val="18"/>
          <w:szCs w:val="18"/>
          <w:color w:val="auto"/>
        </w:rPr>
      </w:pPr>
    </w:p>
    <w:p>
      <w:pPr>
        <w:ind w:left="980" w:right="38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 light of the intellectual property rights of others;</w:t>
      </w:r>
    </w:p>
    <w:p>
      <w:pPr>
        <w:spacing w:after="0" w:line="171" w:lineRule="exact"/>
        <w:rPr>
          <w:rFonts w:ascii="Arial" w:cs="Arial" w:eastAsia="Arial" w:hAnsi="Arial"/>
          <w:sz w:val="18"/>
          <w:szCs w:val="18"/>
          <w:color w:val="auto"/>
        </w:rPr>
      </w:pPr>
    </w:p>
    <w:p>
      <w:pPr>
        <w:ind w:left="980" w:right="32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if approved, commercialization of our product candidates;</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if approved, commercialize our product candidates;</w:t>
      </w:r>
    </w:p>
    <w:p>
      <w:pPr>
        <w:spacing w:after="0" w:line="171" w:lineRule="exact"/>
        <w:rPr>
          <w:rFonts w:ascii="Arial" w:cs="Arial" w:eastAsia="Arial" w:hAnsi="Arial"/>
          <w:sz w:val="18"/>
          <w:szCs w:val="18"/>
          <w:color w:val="auto"/>
        </w:rPr>
      </w:pPr>
    </w:p>
    <w:p>
      <w:pPr>
        <w:ind w:left="980" w:right="36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 if approved, and any other approved product;</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25"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in our Annual Report on Form 10-K for the year ended December 31, 2023. If one or more of these risks or uncertainties occur, or if our underlying assumptions prove to be incorrect, actual events or results may vary significantly from those implied or projected by the forward-looking statements. No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ind w:right="180"/>
        <w:spacing w:after="0" w:line="262" w:lineRule="auto"/>
        <w:rPr>
          <w:sz w:val="20"/>
          <w:szCs w:val="20"/>
          <w:color w:val="auto"/>
        </w:rPr>
      </w:pPr>
      <w:r>
        <w:rPr>
          <w:rFonts w:ascii="Arial" w:cs="Arial" w:eastAsia="Arial" w:hAnsi="Arial"/>
          <w:sz w:val="18"/>
          <w:szCs w:val="18"/>
          <w:color w:val="auto"/>
        </w:rPr>
        <w:t>statement is a guarantee of future performance. You should read this Quarterly Report on Form 10-Q and the documents that we reference in this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7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179"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in our Annual Report on Form 10-K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560" w:type="dxa"/>
            <w:vAlign w:val="bottom"/>
            <w:gridSpan w:val="19"/>
            <w:vMerge w:val="restart"/>
          </w:tcPr>
          <w:p>
            <w:pPr>
              <w:spacing w:after="0"/>
              <w:rPr>
                <w:sz w:val="20"/>
                <w:szCs w:val="20"/>
                <w:color w:val="auto"/>
              </w:rPr>
            </w:pPr>
            <w:r>
              <w:rPr>
                <w:rFonts w:ascii="Arial" w:cs="Arial" w:eastAsia="Arial" w:hAnsi="Arial"/>
                <w:sz w:val="18"/>
                <w:szCs w:val="18"/>
                <w:color w:val="0000FF"/>
              </w:rPr>
              <w:t>FINANCIAL INFORMATION</w:t>
            </w:r>
          </w:p>
        </w:tc>
        <w:tc>
          <w:tcPr>
            <w:tcW w:w="1500" w:type="dxa"/>
            <w:vAlign w:val="bottom"/>
            <w:gridSpan w:val="5"/>
          </w:tcPr>
          <w:p>
            <w:pPr>
              <w:ind w:left="5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0"/>
        </w:trPr>
        <w:tc>
          <w:tcPr>
            <w:tcW w:w="1180" w:type="dxa"/>
            <w:vAlign w:val="bottom"/>
            <w:vMerge w:val="continue"/>
          </w:tcPr>
          <w:p>
            <w:pPr>
              <w:spacing w:after="0"/>
              <w:rPr>
                <w:sz w:val="14"/>
                <w:szCs w:val="14"/>
                <w:color w:val="auto"/>
              </w:rPr>
            </w:pPr>
          </w:p>
        </w:tc>
        <w:tc>
          <w:tcPr>
            <w:tcW w:w="8560" w:type="dxa"/>
            <w:vAlign w:val="bottom"/>
            <w:gridSpan w:val="19"/>
            <w:vMerge w:val="continue"/>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Financial Statements (Unaudited)</w:t>
            </w:r>
          </w:p>
        </w:tc>
        <w:tc>
          <w:tcPr>
            <w:tcW w:w="5880" w:type="dxa"/>
            <w:vAlign w:val="bottom"/>
            <w:gridSpan w:val="9"/>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856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 as of June 30, 2024 and December 31, 2023</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856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Operations for the Three and Six Months Ended June 30, 2024</w:t>
            </w: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76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and 2023</w:t>
            </w:r>
          </w:p>
        </w:tc>
        <w:tc>
          <w:tcPr>
            <w:tcW w:w="750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560" w:type="dxa"/>
            <w:vAlign w:val="bottom"/>
            <w:gridSpan w:val="19"/>
            <w:vMerge w:val="restart"/>
          </w:tcPr>
          <w:p>
            <w:pPr>
              <w:spacing w:after="0"/>
              <w:rPr>
                <w:sz w:val="20"/>
                <w:szCs w:val="20"/>
                <w:color w:val="auto"/>
              </w:rPr>
            </w:pPr>
            <w:r>
              <w:rPr>
                <w:rFonts w:ascii="Arial" w:cs="Arial" w:eastAsia="Arial" w:hAnsi="Arial"/>
                <w:sz w:val="18"/>
                <w:szCs w:val="18"/>
                <w:color w:val="0000FF"/>
              </w:rPr>
              <w:t>Condensed Consolidated Statements of Comprehensive Loss for the Three and Six Months Ended June</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spacing w:after="0"/>
              <w:rPr>
                <w:sz w:val="17"/>
                <w:szCs w:val="17"/>
                <w:color w:val="auto"/>
              </w:rPr>
            </w:pPr>
          </w:p>
        </w:tc>
        <w:tc>
          <w:tcPr>
            <w:tcW w:w="8560" w:type="dxa"/>
            <w:vAlign w:val="bottom"/>
            <w:gridSpan w:val="19"/>
            <w:vMerge w:val="continue"/>
          </w:tcPr>
          <w:p>
            <w:pPr>
              <w:spacing w:after="0"/>
              <w:rPr>
                <w:sz w:val="17"/>
                <w:szCs w:val="17"/>
                <w:color w:val="auto"/>
              </w:rPr>
            </w:pP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830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30, 2024 and 2023</w:t>
            </w:r>
          </w:p>
        </w:tc>
        <w:tc>
          <w:tcPr>
            <w:tcW w:w="2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spacing w:after="0"/>
              <w:rPr>
                <w:sz w:val="17"/>
                <w:szCs w:val="17"/>
                <w:color w:val="auto"/>
              </w:rPr>
            </w:pPr>
          </w:p>
        </w:tc>
        <w:tc>
          <w:tcPr>
            <w:tcW w:w="8560" w:type="dxa"/>
            <w:vAlign w:val="bottom"/>
            <w:gridSpan w:val="19"/>
          </w:tcPr>
          <w:p>
            <w:pPr>
              <w:spacing w:after="0" w:line="203" w:lineRule="exact"/>
              <w:rPr>
                <w:sz w:val="20"/>
                <w:szCs w:val="20"/>
                <w:color w:val="auto"/>
              </w:rPr>
            </w:pPr>
            <w:r>
              <w:rPr>
                <w:rFonts w:ascii="Arial" w:cs="Arial" w:eastAsia="Arial" w:hAnsi="Arial"/>
                <w:sz w:val="18"/>
                <w:szCs w:val="18"/>
                <w:color w:val="0000FF"/>
              </w:rPr>
              <w:t>Condensed Consolidated Statements of Stockholders’ Equity for the Three and Six Months Ended June</w:t>
            </w: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50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30, 2024 and 2023</w:t>
            </w:r>
          </w:p>
        </w:tc>
        <w:tc>
          <w:tcPr>
            <w:tcW w:w="4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gridSpan w:val="2"/>
          </w:tcPr>
          <w:p>
            <w:pPr>
              <w:spacing w:after="0"/>
              <w:rPr>
                <w:sz w:val="13"/>
                <w:szCs w:val="13"/>
                <w:color w:val="auto"/>
              </w:rPr>
            </w:pPr>
          </w:p>
        </w:tc>
        <w:tc>
          <w:tcPr>
            <w:tcW w:w="1920" w:type="dxa"/>
            <w:vAlign w:val="bottom"/>
            <w:tcBorders>
              <w:top w:val="single" w:sz="8" w:color="0000FF"/>
            </w:tcBorders>
            <w:gridSpan w:val="2"/>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gridSpan w:val="2"/>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320" w:type="dxa"/>
            <w:vAlign w:val="bottom"/>
            <w:gridSpan w:val="3"/>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Pr>
          <w:p>
            <w:pPr>
              <w:spacing w:after="0"/>
              <w:rPr>
                <w:sz w:val="18"/>
                <w:szCs w:val="18"/>
                <w:color w:val="auto"/>
              </w:rPr>
            </w:pPr>
          </w:p>
        </w:tc>
        <w:tc>
          <w:tcPr>
            <w:tcW w:w="8240" w:type="dxa"/>
            <w:vAlign w:val="bottom"/>
            <w:gridSpan w:val="16"/>
          </w:tcPr>
          <w:p>
            <w:pPr>
              <w:spacing w:after="0"/>
              <w:rPr>
                <w:sz w:val="20"/>
                <w:szCs w:val="20"/>
                <w:color w:val="auto"/>
              </w:rPr>
            </w:pPr>
            <w:r>
              <w:rPr>
                <w:rFonts w:ascii="Arial" w:cs="Arial" w:eastAsia="Arial" w:hAnsi="Arial"/>
                <w:sz w:val="18"/>
                <w:szCs w:val="18"/>
                <w:color w:val="0000FF"/>
                <w:w w:val="99"/>
              </w:rPr>
              <w:t>Condensed Consolidated Statements of Cash Flows for the Six Months Ended June 30, 2024 and 2023</w:t>
            </w:r>
          </w:p>
        </w:tc>
        <w:tc>
          <w:tcPr>
            <w:tcW w:w="320" w:type="dxa"/>
            <w:vAlign w:val="bottom"/>
            <w:gridSpan w:val="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4480" w:type="dxa"/>
            <w:vAlign w:val="bottom"/>
            <w:gridSpan w:val="11"/>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3760" w:type="dxa"/>
            <w:vAlign w:val="bottom"/>
            <w:gridSpan w:val="5"/>
          </w:tcPr>
          <w:p>
            <w:pPr>
              <w:spacing w:after="0"/>
              <w:rPr>
                <w:sz w:val="18"/>
                <w:szCs w:val="18"/>
                <w:color w:val="auto"/>
              </w:rPr>
            </w:pPr>
          </w:p>
        </w:tc>
        <w:tc>
          <w:tcPr>
            <w:tcW w:w="320" w:type="dxa"/>
            <w:vAlign w:val="bottom"/>
            <w:gridSpan w:val="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856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4720" w:type="dxa"/>
            <w:vAlign w:val="bottom"/>
            <w:gridSpan w:val="12"/>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3"/>
          </w:tcPr>
          <w:p>
            <w:pPr>
              <w:spacing w:after="0"/>
              <w:rPr>
                <w:sz w:val="18"/>
                <w:szCs w:val="18"/>
                <w:color w:val="auto"/>
              </w:rPr>
            </w:pPr>
          </w:p>
        </w:tc>
        <w:tc>
          <w:tcPr>
            <w:tcW w:w="1480" w:type="dxa"/>
            <w:vAlign w:val="bottom"/>
            <w:gridSpan w:val="4"/>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1940" w:type="dxa"/>
            <w:vAlign w:val="bottom"/>
            <w:gridSpan w:val="7"/>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5"/>
          </w:tcPr>
          <w:p>
            <w:pPr>
              <w:spacing w:after="0"/>
              <w:rPr>
                <w:sz w:val="18"/>
                <w:szCs w:val="18"/>
                <w:color w:val="auto"/>
              </w:rPr>
            </w:pPr>
          </w:p>
        </w:tc>
        <w:tc>
          <w:tcPr>
            <w:tcW w:w="3840" w:type="dxa"/>
            <w:vAlign w:val="bottom"/>
            <w:gridSpan w:val="7"/>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40" w:type="dxa"/>
            <w:vAlign w:val="bottom"/>
            <w:gridSpan w:val="7"/>
          </w:tcPr>
          <w:p>
            <w:pPr>
              <w:spacing w:after="0"/>
              <w:rPr>
                <w:sz w:val="20"/>
                <w:szCs w:val="20"/>
                <w:color w:val="auto"/>
              </w:rPr>
            </w:pPr>
            <w:r>
              <w:rPr>
                <w:rFonts w:ascii="Arial" w:cs="Arial" w:eastAsia="Arial" w:hAnsi="Arial"/>
                <w:sz w:val="18"/>
                <w:szCs w:val="18"/>
                <w:color w:val="0000FF"/>
                <w:w w:val="97"/>
              </w:rPr>
              <w:t>OTHER INFORMATION</w:t>
            </w:r>
          </w:p>
        </w:tc>
        <w:tc>
          <w:tcPr>
            <w:tcW w:w="6620" w:type="dxa"/>
            <w:vAlign w:val="bottom"/>
            <w:gridSpan w:val="12"/>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sz w:val="20"/>
                <w:szCs w:val="20"/>
                <w:color w:val="auto"/>
              </w:rPr>
            </w:pPr>
            <w:r>
              <w:rPr>
                <w:rFonts w:ascii="Arial" w:cs="Arial" w:eastAsia="Arial" w:hAnsi="Arial"/>
                <w:sz w:val="18"/>
                <w:szCs w:val="18"/>
                <w:color w:val="0000FF"/>
                <w:w w:val="99"/>
              </w:rPr>
              <w:t>Legal Proceedings</w:t>
            </w:r>
          </w:p>
        </w:tc>
        <w:tc>
          <w:tcPr>
            <w:tcW w:w="440" w:type="dxa"/>
            <w:vAlign w:val="bottom"/>
          </w:tcPr>
          <w:p>
            <w:pPr>
              <w:spacing w:after="0"/>
              <w:rPr>
                <w:sz w:val="18"/>
                <w:szCs w:val="18"/>
                <w:color w:val="auto"/>
              </w:rPr>
            </w:pPr>
          </w:p>
        </w:tc>
        <w:tc>
          <w:tcPr>
            <w:tcW w:w="6620" w:type="dxa"/>
            <w:vAlign w:val="bottom"/>
            <w:gridSpan w:val="12"/>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7060" w:type="dxa"/>
            <w:vAlign w:val="bottom"/>
            <w:gridSpan w:val="1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3"/>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700" w:type="dxa"/>
            <w:vAlign w:val="bottom"/>
            <w:gridSpan w:val="6"/>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2560" w:type="dxa"/>
            <w:vAlign w:val="bottom"/>
            <w:gridSpan w:val="9"/>
          </w:tcPr>
          <w:p>
            <w:pPr>
              <w:spacing w:after="0"/>
              <w:rPr>
                <w:sz w:val="20"/>
                <w:szCs w:val="20"/>
                <w:color w:val="auto"/>
              </w:rPr>
            </w:pPr>
            <w:r>
              <w:rPr>
                <w:rFonts w:ascii="Arial" w:cs="Arial" w:eastAsia="Arial" w:hAnsi="Arial"/>
                <w:sz w:val="18"/>
                <w:szCs w:val="18"/>
                <w:color w:val="0000FF"/>
                <w:w w:val="99"/>
              </w:rPr>
              <w:t>Defaults Upon Senior Securities</w:t>
            </w:r>
          </w:p>
        </w:tc>
        <w:tc>
          <w:tcPr>
            <w:tcW w:w="2300" w:type="dxa"/>
            <w:vAlign w:val="bottom"/>
            <w:gridSpan w:val="4"/>
          </w:tcPr>
          <w:p>
            <w:pPr>
              <w:spacing w:after="0"/>
              <w:rPr>
                <w:sz w:val="18"/>
                <w:szCs w:val="18"/>
                <w:color w:val="auto"/>
              </w:rPr>
            </w:pPr>
          </w:p>
        </w:tc>
        <w:tc>
          <w:tcPr>
            <w:tcW w:w="3700" w:type="dxa"/>
            <w:vAlign w:val="bottom"/>
            <w:gridSpan w:val="6"/>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1940" w:type="dxa"/>
            <w:vAlign w:val="bottom"/>
            <w:gridSpan w:val="7"/>
          </w:tcPr>
          <w:p>
            <w:pPr>
              <w:spacing w:after="0"/>
              <w:rPr>
                <w:sz w:val="20"/>
                <w:szCs w:val="20"/>
                <w:color w:val="auto"/>
              </w:rPr>
            </w:pPr>
            <w:r>
              <w:rPr>
                <w:rFonts w:ascii="Arial" w:cs="Arial" w:eastAsia="Arial" w:hAnsi="Arial"/>
                <w:sz w:val="18"/>
                <w:szCs w:val="18"/>
                <w:color w:val="0000FF"/>
                <w:w w:val="98"/>
              </w:rPr>
              <w:t>Mine Safety Disclosures</w:t>
            </w:r>
          </w:p>
        </w:tc>
        <w:tc>
          <w:tcPr>
            <w:tcW w:w="620" w:type="dxa"/>
            <w:vAlign w:val="bottom"/>
            <w:gridSpan w:val="2"/>
          </w:tcPr>
          <w:p>
            <w:pPr>
              <w:spacing w:after="0"/>
              <w:rPr>
                <w:sz w:val="18"/>
                <w:szCs w:val="18"/>
                <w:color w:val="auto"/>
              </w:rPr>
            </w:pPr>
          </w:p>
        </w:tc>
        <w:tc>
          <w:tcPr>
            <w:tcW w:w="6000" w:type="dxa"/>
            <w:vAlign w:val="bottom"/>
            <w:gridSpan w:val="10"/>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620" w:type="dxa"/>
            <w:vAlign w:val="bottom"/>
            <w:gridSpan w:val="1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5.</w:t>
            </w:r>
          </w:p>
        </w:tc>
        <w:tc>
          <w:tcPr>
            <w:tcW w:w="1940" w:type="dxa"/>
            <w:vAlign w:val="bottom"/>
            <w:gridSpan w:val="7"/>
          </w:tcPr>
          <w:p>
            <w:pPr>
              <w:spacing w:after="0"/>
              <w:rPr>
                <w:sz w:val="20"/>
                <w:szCs w:val="20"/>
                <w:color w:val="auto"/>
              </w:rPr>
            </w:pPr>
            <w:r>
              <w:rPr>
                <w:rFonts w:ascii="Arial" w:cs="Arial" w:eastAsia="Arial" w:hAnsi="Arial"/>
                <w:sz w:val="18"/>
                <w:szCs w:val="18"/>
                <w:color w:val="0000FF"/>
              </w:rPr>
              <w:t>Other Information</w:t>
            </w:r>
          </w:p>
        </w:tc>
        <w:tc>
          <w:tcPr>
            <w:tcW w:w="6620" w:type="dxa"/>
            <w:vAlign w:val="bottom"/>
            <w:gridSpan w:val="12"/>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160" w:type="dxa"/>
            <w:vAlign w:val="bottom"/>
            <w:gridSpan w:val="1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7160" w:type="dxa"/>
            <w:vAlign w:val="bottom"/>
            <w:gridSpan w:val="14"/>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700" w:type="dxa"/>
            <w:vAlign w:val="bottom"/>
            <w:gridSpan w:val="1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856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6"/>
        </w:trPr>
        <w:tc>
          <w:tcPr>
            <w:tcW w:w="11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2024</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96"/>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145,143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81,300</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206,736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3,580</w:t>
            </w:r>
          </w:p>
        </w:tc>
        <w:tc>
          <w:tcPr>
            <w:tcW w:w="0" w:type="dxa"/>
            <w:vAlign w:val="bottom"/>
          </w:tcPr>
          <w:p>
            <w:pPr>
              <w:spacing w:after="0"/>
              <w:rPr>
                <w:sz w:val="1"/>
                <w:szCs w:val="1"/>
                <w:color w:val="auto"/>
              </w:rPr>
            </w:pP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356,716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84,880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marketable securities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81,952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441,063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87,948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8,195</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5,815</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7,416</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portion of deferred revenue</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20,620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15,749</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Non-current portion of operating lease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Non-current portion of deferred revenue</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21,963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18,279</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6)</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6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18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June 30, 2024 and December 31, 2023</w:t>
            </w:r>
          </w:p>
        </w:tc>
        <w:tc>
          <w:tcPr>
            <w:tcW w:w="18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60" w:type="dxa"/>
            <w:vAlign w:val="bottom"/>
          </w:tcPr>
          <w:p>
            <w:pPr>
              <w:ind w:left="240"/>
              <w:spacing w:after="0" w:line="162" w:lineRule="exact"/>
              <w:rPr>
                <w:sz w:val="20"/>
                <w:szCs w:val="20"/>
                <w:color w:val="auto"/>
              </w:rPr>
            </w:pPr>
            <w:r>
              <w:rPr>
                <w:rFonts w:ascii="Arial" w:cs="Arial" w:eastAsia="Arial" w:hAnsi="Arial"/>
                <w:sz w:val="16"/>
                <w:szCs w:val="16"/>
                <w:color w:val="auto"/>
              </w:rPr>
              <w:t>Common stock, $0.0001 par value; 150,000,000 shares authorized; 17,755,506 shares issued and</w:t>
            </w:r>
          </w:p>
        </w:tc>
        <w:tc>
          <w:tcPr>
            <w:tcW w:w="1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outstanding as of June 30, 2024, and 8,791,877 shares issued and outstanding as of December 31, 2023</w:t>
            </w: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1,145,308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723,577</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(726,151)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(653,921)</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419,100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69,669</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441,063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87,948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82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54,244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51,118</w:t>
            </w:r>
          </w:p>
        </w:tc>
        <w:tc>
          <w:tcPr>
            <w:tcW w:w="0" w:type="dxa"/>
            <w:vAlign w:val="bottom"/>
          </w:tcPr>
          <w:p>
            <w:pPr>
              <w:spacing w:after="0"/>
              <w:rPr>
                <w:sz w:val="1"/>
                <w:szCs w:val="1"/>
                <w:color w:val="auto"/>
              </w:rPr>
            </w:pPr>
          </w:p>
        </w:tc>
      </w:tr>
      <w:tr>
        <w:trPr>
          <w:trHeight w:val="215"/>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25,918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23,397</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37,845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80,162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74,515</w:t>
            </w: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(37,488)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(34,960)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(79,374)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(73,051)</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10"/>
        </w:trPr>
        <w:tc>
          <w:tcPr>
            <w:tcW w:w="48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(32,677)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(34,312)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(72,230)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(71,767)</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Net loss per share attributable to common stockholders, basic and</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1</w:t>
            </w: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tcPr>
          <w:p>
            <w:pPr>
              <w:ind w:left="20"/>
              <w:spacing w:after="0" w:line="190" w:lineRule="exact"/>
              <w:rPr>
                <w:sz w:val="20"/>
                <w:szCs w:val="20"/>
                <w:color w:val="auto"/>
              </w:rPr>
            </w:pPr>
            <w:r>
              <w:rPr>
                <w:rFonts w:ascii="Arial" w:cs="Arial" w:eastAsia="Arial" w:hAnsi="Arial"/>
                <w:sz w:val="16"/>
                <w:szCs w:val="16"/>
                <w:color w:val="auto"/>
              </w:rPr>
              <w:t>Weighted average common shares outstanding, basic and diluted</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18,824,479</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4,649,371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16,364,421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4,097,833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80" w:hanging="72"/>
        <w:spacing w:after="0"/>
        <w:tabs>
          <w:tab w:leader="none" w:pos="80" w:val="left"/>
        </w:tabs>
        <w:numPr>
          <w:ilvl w:val="0"/>
          <w:numId w:val="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Results have been retroactively adjusted to reflect the 1-for-15 reverse stock split effected on November 28, 2023. See Note 2 for details.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1980" w:type="dxa"/>
            <w:vAlign w:val="bottom"/>
          </w:tcPr>
          <w:p>
            <w:pPr>
              <w:spacing w:after="0"/>
              <w:rPr>
                <w:sz w:val="21"/>
                <w:szCs w:val="21"/>
                <w:color w:val="auto"/>
              </w:rPr>
            </w:pPr>
          </w:p>
        </w:tc>
        <w:tc>
          <w:tcPr>
            <w:tcW w:w="6100" w:type="dxa"/>
            <w:vAlign w:val="bottom"/>
            <w:gridSpan w:val="7"/>
          </w:tcPr>
          <w:p>
            <w:pPr>
              <w:jc w:val="center"/>
              <w:ind w:left="1110"/>
              <w:spacing w:after="0"/>
              <w:rPr>
                <w:sz w:val="20"/>
                <w:szCs w:val="20"/>
                <w:color w:val="auto"/>
              </w:rPr>
            </w:pPr>
            <w:r>
              <w:rPr>
                <w:rFonts w:ascii="Arial" w:cs="Arial" w:eastAsia="Arial" w:hAnsi="Arial"/>
                <w:sz w:val="18"/>
                <w:szCs w:val="18"/>
                <w:b w:val="1"/>
                <w:bCs w:val="1"/>
                <w:color w:val="auto"/>
                <w:w w:val="99"/>
              </w:rPr>
              <w:t>PRAXIS PRECISION MEDICINES, INC.</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980" w:type="dxa"/>
            <w:vAlign w:val="bottom"/>
          </w:tcPr>
          <w:p>
            <w:pPr>
              <w:spacing w:after="0"/>
              <w:rPr>
                <w:sz w:val="24"/>
                <w:szCs w:val="24"/>
                <w:color w:val="auto"/>
              </w:rPr>
            </w:pPr>
          </w:p>
        </w:tc>
        <w:tc>
          <w:tcPr>
            <w:tcW w:w="7720" w:type="dxa"/>
            <w:vAlign w:val="bottom"/>
            <w:gridSpan w:val="10"/>
          </w:tcPr>
          <w:p>
            <w:pPr>
              <w:jc w:val="center"/>
              <w:ind w:right="420"/>
              <w:spacing w:after="0"/>
              <w:rPr>
                <w:sz w:val="20"/>
                <w:szCs w:val="20"/>
                <w:color w:val="auto"/>
              </w:rPr>
            </w:pPr>
            <w:r>
              <w:rPr>
                <w:rFonts w:ascii="Arial" w:cs="Arial" w:eastAsia="Arial" w:hAnsi="Arial"/>
                <w:sz w:val="18"/>
                <w:szCs w:val="18"/>
                <w:b w:val="1"/>
                <w:bCs w:val="1"/>
                <w:color w:val="auto"/>
                <w:w w:val="99"/>
              </w:rPr>
              <w:t>CONDENSED CONSOLIDATED STATEMENTS OF COMPREHENSIVE LOSS</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(Unaudited)</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80" w:type="dxa"/>
            <w:vAlign w:val="bottom"/>
          </w:tcPr>
          <w:p>
            <w:pPr>
              <w:spacing w:after="0"/>
              <w:rPr>
                <w:sz w:val="24"/>
                <w:szCs w:val="24"/>
                <w:color w:val="auto"/>
              </w:rPr>
            </w:pPr>
          </w:p>
        </w:tc>
        <w:tc>
          <w:tcPr>
            <w:tcW w:w="4920" w:type="dxa"/>
            <w:vAlign w:val="bottom"/>
            <w:gridSpan w:val="5"/>
          </w:tcPr>
          <w:p>
            <w:pPr>
              <w:jc w:val="center"/>
              <w:ind w:left="2270"/>
              <w:spacing w:after="0"/>
              <w:rPr>
                <w:sz w:val="20"/>
                <w:szCs w:val="20"/>
                <w:color w:val="auto"/>
              </w:rPr>
            </w:pPr>
            <w:r>
              <w:rPr>
                <w:rFonts w:ascii="Arial" w:cs="Arial" w:eastAsia="Arial" w:hAnsi="Arial"/>
                <w:sz w:val="18"/>
                <w:szCs w:val="18"/>
                <w:b w:val="1"/>
                <w:bCs w:val="1"/>
                <w:color w:val="auto"/>
              </w:rPr>
              <w:t>(Amounts in thousands)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820" w:type="dxa"/>
            <w:vAlign w:val="bottom"/>
            <w:gridSpan w:val="4"/>
          </w:tcPr>
          <w:p>
            <w:pPr>
              <w:jc w:val="right"/>
              <w:ind w:right="719"/>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980" w:type="dxa"/>
            <w:vAlign w:val="bottom"/>
            <w:tcBorders>
              <w:bottom w:val="single" w:sz="8" w:color="CCEEFF"/>
            </w:tcBorders>
          </w:tcPr>
          <w:p>
            <w:pPr>
              <w:spacing w:after="0"/>
              <w:rPr>
                <w:sz w:val="18"/>
                <w:szCs w:val="18"/>
                <w:color w:val="auto"/>
              </w:rPr>
            </w:pPr>
          </w:p>
        </w:tc>
        <w:tc>
          <w:tcPr>
            <w:tcW w:w="2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(72,230)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(71,767)</w:t>
            </w:r>
          </w:p>
        </w:tc>
        <w:tc>
          <w:tcPr>
            <w:tcW w:w="0" w:type="dxa"/>
            <w:vAlign w:val="bottom"/>
          </w:tcPr>
          <w:p>
            <w:pPr>
              <w:spacing w:after="0"/>
              <w:rPr>
                <w:sz w:val="1"/>
                <w:szCs w:val="1"/>
                <w:color w:val="auto"/>
              </w:rPr>
            </w:pPr>
          </w:p>
        </w:tc>
      </w:tr>
      <w:tr>
        <w:trPr>
          <w:trHeight w:val="162"/>
        </w:trPr>
        <w:tc>
          <w:tcPr>
            <w:tcW w:w="5040" w:type="dxa"/>
            <w:vAlign w:val="bottom"/>
            <w:gridSpan w:val="3"/>
          </w:tcPr>
          <w:p>
            <w:pPr>
              <w:ind w:left="240"/>
              <w:spacing w:after="0" w:line="162" w:lineRule="exact"/>
              <w:rPr>
                <w:sz w:val="20"/>
                <w:szCs w:val="20"/>
                <w:color w:val="auto"/>
              </w:rPr>
            </w:pPr>
            <w:r>
              <w:rPr>
                <w:rFonts w:ascii="Arial" w:cs="Arial" w:eastAsia="Arial" w:hAnsi="Arial"/>
                <w:sz w:val="16"/>
                <w:szCs w:val="16"/>
                <w:color w:val="auto"/>
              </w:rPr>
              <w:t>Change in unrealized gain (loss) on marketable securities, net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5"/>
        </w:trPr>
        <w:tc>
          <w:tcPr>
            <w:tcW w:w="19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of tax</w:t>
            </w:r>
          </w:p>
        </w:tc>
        <w:tc>
          <w:tcPr>
            <w:tcW w:w="2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28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(32,751)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(72,301)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(71,594)</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103505</wp:posOffset>
            </wp:positionV>
            <wp:extent cx="43973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8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980" w:type="dxa"/>
            <w:vAlign w:val="bottom"/>
            <w:gridSpan w:val="3"/>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320" w:type="dxa"/>
            <w:vAlign w:val="bottom"/>
          </w:tcPr>
          <w:p>
            <w:pPr>
              <w:spacing w:after="0"/>
              <w:rPr>
                <w:sz w:val="9"/>
                <w:szCs w:val="9"/>
                <w:color w:val="auto"/>
              </w:rPr>
            </w:pPr>
          </w:p>
        </w:tc>
        <w:tc>
          <w:tcPr>
            <w:tcW w:w="198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260"/>
              <w:spacing w:after="0" w:line="104"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9"/>
                <w:szCs w:val="9"/>
                <w:color w:val="auto"/>
              </w:rPr>
            </w:pPr>
          </w:p>
        </w:tc>
        <w:tc>
          <w:tcPr>
            <w:tcW w:w="1060" w:type="dxa"/>
            <w:vAlign w:val="bottom"/>
            <w:gridSpan w:val="2"/>
          </w:tcPr>
          <w:p>
            <w:pPr>
              <w:ind w:left="20"/>
              <w:spacing w:after="0" w:line="104" w:lineRule="exact"/>
              <w:rPr>
                <w:sz w:val="20"/>
                <w:szCs w:val="20"/>
                <w:color w:val="auto"/>
              </w:rPr>
            </w:pPr>
            <w:r>
              <w:rPr>
                <w:rFonts w:ascii="Arial" w:cs="Arial" w:eastAsia="Arial" w:hAnsi="Arial"/>
                <w:sz w:val="12"/>
                <w:szCs w:val="12"/>
                <w:b w:val="1"/>
                <w:bCs w:val="1"/>
                <w:color w:val="auto"/>
              </w:rPr>
              <w:t>Accumulated</w:t>
            </w:r>
          </w:p>
        </w:tc>
        <w:tc>
          <w:tcPr>
            <w:tcW w:w="1160" w:type="dxa"/>
            <w:vAlign w:val="bottom"/>
            <w:gridSpan w:val="3"/>
          </w:tcPr>
          <w:p>
            <w:pPr>
              <w:jc w:val="center"/>
              <w:ind w:right="80"/>
              <w:spacing w:after="0" w:line="104"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980" w:type="dxa"/>
            <w:vAlign w:val="bottom"/>
          </w:tcPr>
          <w:p>
            <w:pPr>
              <w:jc w:val="center"/>
              <w:ind w:right="57"/>
              <w:spacing w:after="0" w:line="104"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Income (Loss)</w:t>
            </w:r>
          </w:p>
        </w:tc>
        <w:tc>
          <w:tcPr>
            <w:tcW w:w="120" w:type="dxa"/>
            <w:vAlign w:val="bottom"/>
          </w:tcPr>
          <w:p>
            <w:pPr>
              <w:spacing w:after="0"/>
              <w:rPr>
                <w:sz w:val="16"/>
                <w:szCs w:val="16"/>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8,791,877</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723,577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(653,921)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69,669</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14,475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14,475</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Issuance of common stock from follow-on public offering and accompanying</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pre-funded warrants, net of underwriting discounts, commissions and</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offering costs of $10,836</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3,802,025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161,649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161,649</w:t>
            </w:r>
          </w:p>
        </w:tc>
        <w:tc>
          <w:tcPr>
            <w:tcW w:w="0" w:type="dxa"/>
            <w:vAlign w:val="bottom"/>
          </w:tcPr>
          <w:p>
            <w:pPr>
              <w:spacing w:after="0"/>
              <w:rPr>
                <w:sz w:val="1"/>
                <w:szCs w:val="1"/>
                <w:color w:val="auto"/>
              </w:rPr>
            </w:pPr>
          </w:p>
        </w:tc>
      </w:tr>
      <w:tr>
        <w:trPr>
          <w:trHeight w:val="122"/>
        </w:trPr>
        <w:tc>
          <w:tcPr>
            <w:tcW w:w="4320" w:type="dxa"/>
            <w:vAlign w:val="bottom"/>
          </w:tcPr>
          <w:p>
            <w:pPr>
              <w:ind w:left="20"/>
              <w:spacing w:after="0" w:line="122"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20"/>
              <w:spacing w:after="0"/>
              <w:rPr>
                <w:sz w:val="20"/>
                <w:szCs w:val="20"/>
                <w:color w:val="auto"/>
              </w:rPr>
            </w:pPr>
            <w:r>
              <w:rPr>
                <w:rFonts w:ascii="Arial" w:cs="Arial" w:eastAsia="Arial" w:hAnsi="Arial"/>
                <w:sz w:val="13"/>
                <w:szCs w:val="13"/>
                <w:color w:val="auto"/>
              </w:rPr>
              <w:t>issuance and commission costs of $376</w:t>
            </w:r>
          </w:p>
        </w:tc>
        <w:tc>
          <w:tcPr>
            <w:tcW w:w="1080" w:type="dxa"/>
            <w:vAlign w:val="bottom"/>
          </w:tcPr>
          <w:p>
            <w:pPr>
              <w:jc w:val="right"/>
              <w:spacing w:after="0"/>
              <w:rPr>
                <w:sz w:val="20"/>
                <w:szCs w:val="20"/>
                <w:color w:val="auto"/>
              </w:rPr>
            </w:pPr>
            <w:r>
              <w:rPr>
                <w:rFonts w:ascii="Arial" w:cs="Arial" w:eastAsia="Arial" w:hAnsi="Arial"/>
                <w:sz w:val="13"/>
                <w:szCs w:val="13"/>
                <w:color w:val="auto"/>
              </w:rPr>
              <w:t>209,852</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6,169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6,169</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from a collaboration and license agreement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443,253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17,265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17,265</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11,095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3,634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gain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(39,553)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(39,553)</w:t>
            </w: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13,258,047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923,141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(693,474)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229,683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320" w:type="dxa"/>
            <w:vAlign w:val="bottom"/>
            <w:tcBorders>
              <w:top w:val="single" w:sz="8" w:color="CCEEFF"/>
            </w:tcBorders>
            <w:vMerge w:val="continue"/>
          </w:tcPr>
          <w:p>
            <w:pPr>
              <w:spacing w:after="0"/>
              <w:rPr>
                <w:sz w:val="12"/>
                <w:szCs w:val="12"/>
                <w:color w:val="auto"/>
              </w:rPr>
            </w:pPr>
          </w:p>
        </w:tc>
        <w:tc>
          <w:tcPr>
            <w:tcW w:w="10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5,878</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78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5,878</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Issuance of common stock from follow-on public offering and accompanying</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pre-funded warrants, net of underwriting discounts, commissions and</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offering costs of $14,013</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3,849,558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215,987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215,988</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from exercise of pre-funded warrants</w:t>
            </w:r>
          </w:p>
        </w:tc>
        <w:tc>
          <w:tcPr>
            <w:tcW w:w="1080" w:type="dxa"/>
            <w:vAlign w:val="bottom"/>
          </w:tcPr>
          <w:p>
            <w:pPr>
              <w:jc w:val="right"/>
              <w:spacing w:after="0"/>
              <w:rPr>
                <w:sz w:val="20"/>
                <w:szCs w:val="20"/>
                <w:color w:val="auto"/>
              </w:rPr>
            </w:pPr>
            <w:r>
              <w:rPr>
                <w:rFonts w:ascii="Arial" w:cs="Arial" w:eastAsia="Arial" w:hAnsi="Arial"/>
                <w:sz w:val="13"/>
                <w:szCs w:val="13"/>
                <w:color w:val="auto"/>
              </w:rPr>
              <w:t>622,123</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25,146</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726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148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(32,677)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(32,677)</w:t>
            </w: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17,755,506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1,145,308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(726,151)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419,100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103505</wp:posOffset>
            </wp:positionV>
            <wp:extent cx="43973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980" w:type="dxa"/>
            <w:vAlign w:val="bottom"/>
            <w:gridSpan w:val="3"/>
          </w:tcPr>
          <w:p>
            <w:pPr>
              <w:jc w:val="right"/>
              <w:ind w:right="317"/>
              <w:spacing w:after="0" w:line="162" w:lineRule="exact"/>
              <w:rPr>
                <w:sz w:val="20"/>
                <w:szCs w:val="20"/>
                <w:color w:val="auto"/>
              </w:rPr>
            </w:pPr>
            <w:r>
              <w:rPr>
                <w:rFonts w:ascii="Arial" w:cs="Arial" w:eastAsia="Arial" w:hAnsi="Arial"/>
                <w:sz w:val="13"/>
                <w:szCs w:val="13"/>
                <w:b w:val="1"/>
                <w:bCs w:val="1"/>
                <w:color w:val="auto"/>
              </w:rPr>
              <w:t>Common Stock</w:t>
            </w:r>
            <w:r>
              <w:rPr>
                <w:rFonts w:ascii="Arial" w:cs="Arial" w:eastAsia="Arial" w:hAnsi="Arial"/>
                <w:sz w:val="16"/>
                <w:szCs w:val="16"/>
                <w:b w:val="1"/>
                <w:bCs w:val="1"/>
                <w:color w:val="auto"/>
                <w:vertAlign w:val="superscript"/>
              </w:rPr>
              <w:t>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980" w:type="dxa"/>
            <w:vAlign w:val="bottom"/>
          </w:tcPr>
          <w:p>
            <w:pPr>
              <w:jc w:val="center"/>
              <w:ind w:right="5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106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Accumulated</w:t>
            </w:r>
          </w:p>
        </w:tc>
        <w:tc>
          <w:tcPr>
            <w:tcW w:w="1160" w:type="dxa"/>
            <w:vAlign w:val="bottom"/>
            <w:gridSpan w:val="3"/>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4"/>
                <w:szCs w:val="4"/>
                <w:color w:val="auto"/>
              </w:rPr>
            </w:pPr>
          </w:p>
        </w:tc>
        <w:tc>
          <w:tcPr>
            <w:tcW w:w="980" w:type="dxa"/>
            <w:vAlign w:val="bottom"/>
            <w:vMerge w:val="restart"/>
          </w:tcPr>
          <w:p>
            <w:pPr>
              <w:jc w:val="center"/>
              <w:ind w:right="58"/>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3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06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5"/>
                <w:szCs w:val="15"/>
                <w:color w:val="auto"/>
              </w:rPr>
            </w:pPr>
          </w:p>
        </w:tc>
        <w:tc>
          <w:tcPr>
            <w:tcW w:w="980" w:type="dxa"/>
            <w:vAlign w:val="bottom"/>
          </w:tcPr>
          <w:p>
            <w:pPr>
              <w:jc w:val="center"/>
              <w:ind w:right="58"/>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3,292,163</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606,918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(530,644)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76,106</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7,593</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commission costs of $560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560,253</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18,096</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11,516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2,970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(37,455)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(37,455)</w:t>
            </w: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3,864,027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632,580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(568,099)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64,468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320" w:type="dxa"/>
            <w:vAlign w:val="bottom"/>
            <w:tcBorders>
              <w:top w:val="single" w:sz="8" w:color="CCEEFF"/>
            </w:tcBorders>
            <w:vMerge w:val="continue"/>
          </w:tcPr>
          <w:p>
            <w:pPr>
              <w:spacing w:after="0"/>
              <w:rPr>
                <w:sz w:val="12"/>
                <w:szCs w:val="12"/>
                <w:color w:val="auto"/>
              </w:rPr>
            </w:pPr>
          </w:p>
        </w:tc>
        <w:tc>
          <w:tcPr>
            <w:tcW w:w="10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5,775</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78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5,775</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Issuance of common stock from follow-on public offering and accompanying</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pre-funded warrants, net of underwriting discounts, commissions and</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offering costs of $4,484</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4,296,646</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63,439</w:t>
            </w:r>
          </w:p>
        </w:tc>
        <w:tc>
          <w:tcPr>
            <w:tcW w:w="0" w:type="dxa"/>
            <w:vAlign w:val="bottom"/>
          </w:tcPr>
          <w:p>
            <w:pPr>
              <w:spacing w:after="0"/>
              <w:rPr>
                <w:sz w:val="1"/>
                <w:szCs w:val="1"/>
                <w:color w:val="auto"/>
              </w:rPr>
            </w:pPr>
          </w:p>
        </w:tc>
      </w:tr>
      <w:tr>
        <w:trPr>
          <w:trHeight w:val="122"/>
        </w:trPr>
        <w:tc>
          <w:tcPr>
            <w:tcW w:w="4320" w:type="dxa"/>
            <w:vAlign w:val="bottom"/>
          </w:tcPr>
          <w:p>
            <w:pPr>
              <w:ind w:left="20"/>
              <w:spacing w:after="0" w:line="122"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20"/>
              <w:spacing w:after="0"/>
              <w:rPr>
                <w:sz w:val="20"/>
                <w:szCs w:val="20"/>
                <w:color w:val="auto"/>
              </w:rPr>
            </w:pPr>
            <w:r>
              <w:rPr>
                <w:rFonts w:ascii="Arial" w:cs="Arial" w:eastAsia="Arial" w:hAnsi="Arial"/>
                <w:sz w:val="13"/>
                <w:szCs w:val="13"/>
                <w:color w:val="auto"/>
              </w:rPr>
              <w:t>issuance costs</w:t>
            </w:r>
          </w:p>
        </w:tc>
        <w:tc>
          <w:tcPr>
            <w:tcW w:w="1080" w:type="dxa"/>
            <w:vAlign w:val="bottom"/>
          </w:tcPr>
          <w:p>
            <w:pPr>
              <w:jc w:val="right"/>
              <w:spacing w:after="0"/>
              <w:rPr>
                <w:sz w:val="20"/>
                <w:szCs w:val="20"/>
                <w:color w:val="auto"/>
              </w:rPr>
            </w:pPr>
            <w:r>
              <w:rPr>
                <w:rFonts w:ascii="Arial" w:cs="Arial" w:eastAsia="Arial" w:hAnsi="Arial"/>
                <w:sz w:val="13"/>
                <w:szCs w:val="13"/>
                <w:color w:val="auto"/>
              </w:rPr>
              <w:t>392,541</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6,031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6,032</w:t>
            </w:r>
          </w:p>
        </w:tc>
        <w:tc>
          <w:tcPr>
            <w:tcW w:w="0" w:type="dxa"/>
            <w:vAlign w:val="bottom"/>
          </w:tcPr>
          <w:p>
            <w:pPr>
              <w:spacing w:after="0"/>
              <w:rPr>
                <w:sz w:val="1"/>
                <w:szCs w:val="1"/>
                <w:color w:val="auto"/>
              </w:rPr>
            </w:pPr>
          </w:p>
        </w:tc>
      </w:tr>
      <w:tr>
        <w:trPr>
          <w:trHeight w:val="182"/>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720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(34,312)</w:t>
            </w:r>
          </w:p>
        </w:tc>
        <w:tc>
          <w:tcPr>
            <w:tcW w:w="0" w:type="dxa"/>
            <w:vAlign w:val="bottom"/>
          </w:tcPr>
          <w:p>
            <w:pPr>
              <w:spacing w:after="0"/>
              <w:rPr>
                <w:sz w:val="1"/>
                <w:szCs w:val="1"/>
                <w:color w:val="auto"/>
              </w:rPr>
            </w:pPr>
          </w:p>
        </w:tc>
      </w:tr>
      <w:tr>
        <w:trPr>
          <w:trHeight w:val="169"/>
        </w:trPr>
        <w:tc>
          <w:tcPr>
            <w:tcW w:w="432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2023</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8,569,348</w:t>
            </w:r>
          </w:p>
        </w:tc>
        <w:tc>
          <w:tcPr>
            <w:tcW w:w="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708,023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(602,411)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105,625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80" w:hanging="72"/>
        <w:spacing w:after="0"/>
        <w:tabs>
          <w:tab w:leader="none" w:pos="80" w:val="left"/>
        </w:tabs>
        <w:numPr>
          <w:ilvl w:val="0"/>
          <w:numId w:val="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Results have been retroactively adjusted to reflect the 1-for-15 reverse stock split effected on November 28, 2023. See Note 2 for details.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56"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Six Months Ended</w:t>
      </w:r>
    </w:p>
    <w:p>
      <w:pPr>
        <w:jc w:val="center"/>
        <w:ind w:left="8040"/>
        <w:spacing w:after="0"/>
        <w:rPr>
          <w:sz w:val="20"/>
          <w:szCs w:val="20"/>
          <w:color w:val="auto"/>
        </w:rPr>
      </w:pPr>
      <w:r>
        <w:rPr>
          <w:rFonts w:ascii="Arial" w:cs="Arial" w:eastAsia="Arial" w:hAnsi="Arial"/>
          <w:sz w:val="16"/>
          <w:szCs w:val="16"/>
          <w:b w:val="1"/>
          <w:bCs w:val="1"/>
          <w:color w:val="auto"/>
        </w:rPr>
        <w:t>June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(72,230)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(71,767)</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13,368</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Non-cash collaboration and license agreement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4,822</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(6,662)</w:t>
            </w:r>
          </w:p>
        </w:tc>
        <w:tc>
          <w:tcPr>
            <w:tcW w:w="0" w:type="dxa"/>
            <w:vAlign w:val="bottom"/>
          </w:tcPr>
          <w:p>
            <w:pPr>
              <w:spacing w:after="0"/>
              <w:rPr>
                <w:sz w:val="1"/>
                <w:szCs w:val="1"/>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(2,533)</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(1,464)</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60" w:type="dxa"/>
            <w:vAlign w:val="bottom"/>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(48,135)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(64,060)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(290,142)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39,000</w:t>
            </w:r>
          </w:p>
        </w:tc>
        <w:tc>
          <w:tcPr>
            <w:tcW w:w="0" w:type="dxa"/>
            <w:vAlign w:val="bottom"/>
          </w:tcPr>
          <w:p>
            <w:pPr>
              <w:spacing w:after="0"/>
              <w:rPr>
                <w:sz w:val="1"/>
                <w:szCs w:val="1"/>
                <w:color w:val="auto"/>
              </w:rPr>
            </w:pPr>
          </w:p>
        </w:tc>
      </w:tr>
      <w:tr>
        <w:trPr>
          <w:trHeight w:val="209"/>
        </w:trPr>
        <w:tc>
          <w:tcPr>
            <w:tcW w:w="8060" w:type="dxa"/>
            <w:vAlign w:val="bottom"/>
          </w:tcPr>
          <w:p>
            <w:pPr>
              <w:ind w:left="680"/>
              <w:spacing w:after="0"/>
              <w:rPr>
                <w:sz w:val="20"/>
                <w:szCs w:val="20"/>
                <w:color w:val="auto"/>
              </w:rPr>
            </w:pPr>
            <w:r>
              <w:rPr>
                <w:rFonts w:ascii="Arial" w:cs="Arial" w:eastAsia="Arial" w:hAnsi="Arial"/>
                <w:sz w:val="16"/>
                <w:szCs w:val="16"/>
                <w:color w:val="auto"/>
              </w:rPr>
              <w:t>Net cash (used in) provided by investing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(287,142)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39,000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60" w:type="dxa"/>
            <w:vAlign w:val="bottom"/>
          </w:tcPr>
          <w:p>
            <w:pPr>
              <w:ind w:left="20"/>
              <w:spacing w:after="0" w:line="162" w:lineRule="exact"/>
              <w:rPr>
                <w:sz w:val="20"/>
                <w:szCs w:val="20"/>
                <w:color w:val="auto"/>
              </w:rPr>
            </w:pPr>
            <w:r>
              <w:rPr>
                <w:rFonts w:ascii="Arial" w:cs="Arial" w:eastAsia="Arial" w:hAnsi="Arial"/>
                <w:sz w:val="16"/>
                <w:szCs w:val="16"/>
                <w:color w:val="auto"/>
              </w:rPr>
              <w:t>Issuance of common stock from follow-on public offering and accompanying pre-funded warrants, net of</w:t>
            </w: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377,744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63,439</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underwriting discounts, commissions and offering costs</w:t>
            </w: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from collaboration and license agreement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Proceeds from at-the-market offerings, net of issuance and commission costs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24,128</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tax withholdings related to vesting of restricted stock units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exercise of stock options and employee stock purchase plan purchases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399,120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87,745</w:t>
            </w: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Increase in cash, cash equivalents and restricted cash</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63,843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62,685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62,031</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145,559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124,716</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145,143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124,300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10"/>
        </w:trPr>
        <w:tc>
          <w:tcPr>
            <w:tcW w:w="8060" w:type="dxa"/>
            <w:vAlign w:val="bottom"/>
          </w:tcPr>
          <w:p>
            <w:pPr>
              <w:ind w:left="680"/>
              <w:spacing w:after="0"/>
              <w:rPr>
                <w:sz w:val="20"/>
                <w:szCs w:val="20"/>
                <w:color w:val="auto"/>
              </w:rPr>
            </w:pPr>
            <w:r>
              <w:rPr>
                <w:rFonts w:ascii="Arial" w:cs="Arial" w:eastAsia="Arial" w:hAnsi="Arial"/>
                <w:sz w:val="16"/>
                <w:szCs w:val="16"/>
                <w:color w:val="auto"/>
              </w:rPr>
              <w:t>Total cash, cash equivalents and restricted cash</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145,559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124,716</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non-cash activities: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Issuance costs from at-the-market offering included in accounts payable and accrued expenses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Offering costs from follow-on offering included in accounts payable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jc w:val="center"/>
        <w:ind w:left="360" w:right="2660"/>
        <w:spacing w:after="0" w:line="451" w:lineRule="auto"/>
        <w:rPr>
          <w:sz w:val="20"/>
          <w:szCs w:val="20"/>
          <w:color w:val="auto"/>
        </w:rPr>
      </w:pPr>
      <w:r>
        <w:rPr>
          <w:rFonts w:ascii="Arial" w:cs="Arial" w:eastAsia="Arial" w:hAnsi="Arial"/>
          <w:sz w:val="18"/>
          <w:szCs w:val="18"/>
          <w:b w:val="1"/>
          <w:bCs w:val="1"/>
          <w:color w:val="auto"/>
        </w:rPr>
        <w:t>PRAXIS PRECISION MEDICINES, INC. NOTES TO CONDENSED CONSOLIDATED FINANCIAL STATEMENTS (Unaudited)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17"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Praxis Precision Medicines, Inc. (“Praxis” or the “Company”) is a clinical-stage biopharmaceutical company translating insights from genetic epilepsies into the development of therapies for central nervous system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The Company is applying genetic insights to the discovery and development of therapies for neurological disorders through two proprietary platforms, using its understanding of shared biological targets and circuits in the brain. Each platform has multiple programs currently, with significant potential for additional program and indication expansion:</w:t>
      </w:r>
    </w:p>
    <w:p>
      <w:pPr>
        <w:spacing w:after="0" w:line="169" w:lineRule="exact"/>
        <w:rPr>
          <w:sz w:val="20"/>
          <w:szCs w:val="20"/>
          <w:color w:val="auto"/>
        </w:rPr>
      </w:pPr>
    </w:p>
    <w:p>
      <w:pPr>
        <w:ind w:left="660" w:right="32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the Company's small molecule platform, utilizes deep understanding of neuronal excitability and neuronal networks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applies a series of computational and experimental tools to develop orally available precision therapies</w:t>
      </w:r>
    </w:p>
    <w:p>
      <w:pPr>
        <w:spacing w:after="0" w:line="139" w:lineRule="exact"/>
        <w:rPr>
          <w:rFonts w:ascii="Arial" w:cs="Arial" w:eastAsia="Arial" w:hAnsi="Arial"/>
          <w:sz w:val="22"/>
          <w:szCs w:val="22"/>
          <w:color w:val="auto"/>
        </w:rPr>
      </w:pPr>
    </w:p>
    <w:p>
      <w:pPr>
        <w:ind w:left="660" w:right="3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the Company's antisense oligonucleotide, or ASO, platform, is an efficient, targeted precision medicine discovery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engine anchored on a proprietary, computational methodology</w:t>
      </w:r>
    </w:p>
    <w:p>
      <w:pPr>
        <w:spacing w:after="0" w:line="153"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Company's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the Company has established a diversified, multimodal CNS portfolio with four clinical-stage product candidates across movement disorders and epilepsy. For the Company's most advanced product candidate under the Cerebrum™ platform, ulixacaltamide, two Phase 3 Essential3 clinical trials in essential tremor are ongoing. The Company is planning to conduct an interim analysis in the fourth quarter of 2024, with topline results anticipated shortly thereafter. Within the Company's PRAX-628 program, it announced positive results from its Photo-Paroxysmal Response ("PPR") study in the first quarter of 2024, and plans to initiate four studies to generate patient eligibility, efficacy, safety and pharmacokinetics (PK) data for the program. The Company intends to initiate an observational study of PRAX-628 in patients with epilepsy in the third quarter of 2024, as well as three efficacy studies. The first efficacy study will be an open label eight-week study in patients with focal onset seizures or generalized epilepsy to be initiated in the second half of 2024, with topline results expected in the first half of 2025. The Company also plans to initiate a double-blind, placebo-controlled, 12-week study in focal onset seizures in the fourth quarter of 2024, with topline results expected in the second half of 2025, and plans to initiate a third efficacy study in the first half of 2025. The Company's relutrigine (formerly known as PRAX-562) Phase 2 EMBOLD study was initiated in the first quarter of 2023, with two cohorts in SCN2A-DEE and SCN8A-DEE; topline results are expected for both cohorts in the third quarter of 2024. For the Company's most advanced product candidate under the Solidus™ platform, elsunersen (formerly known as PRAX-222), it shared results from Part 1 of the EMBRAVE study in the fourth quarter of 2023, and has initiated the first arm of the global confirmatory study in Brazil. It is currently completing multiple global regulatory interactions to further expand the pivotal phase of the program later in 2024.</w:t>
      </w:r>
    </w:p>
    <w:p>
      <w:pPr>
        <w:spacing w:after="0" w:line="193"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Praxis was incorporated in 2015 and commenced operations in 2016. The Company has funded its operations primarily with proceeds from the issuance of redeemable convertible preferred stock, from the sale of common stock through an initial public offering and at-the-market offerings under its shelf registration statement, and from follow-on public offerings of common stock and pre-funded warrants to purchase common stock. From inception through June 30, 2024, the Company raised $1.0 billion in aggregate cash proceeds from these transactions, net of issuance costs.</w:t>
      </w:r>
    </w:p>
    <w:p>
      <w:pPr>
        <w:spacing w:after="0" w:line="179" w:lineRule="exact"/>
        <w:rPr>
          <w:sz w:val="20"/>
          <w:szCs w:val="20"/>
          <w:color w:val="auto"/>
        </w:rPr>
      </w:pPr>
    </w:p>
    <w:p>
      <w:pPr>
        <w:ind w:right="260" w:firstLine="445"/>
        <w:spacing w:after="0" w:line="257"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 w:name="page12"/>
    <w:bookmarkEnd w:id="11"/>
    <w:p>
      <w:pPr>
        <w:ind w:right="640"/>
        <w:spacing w:after="0" w:line="287" w:lineRule="auto"/>
        <w:rPr>
          <w:sz w:val="20"/>
          <w:szCs w:val="20"/>
          <w:color w:val="auto"/>
        </w:rPr>
      </w:pPr>
      <w:r>
        <w:rPr>
          <w:rFonts w:ascii="Arial" w:cs="Arial" w:eastAsia="Arial" w:hAnsi="Arial"/>
          <w:sz w:val="18"/>
          <w:szCs w:val="18"/>
          <w:color w:val="auto"/>
        </w:rPr>
        <w:t>personnel and infrastructure and extensive compliance-reporting capabilities. Even if the Company’s product development efforts are successful, it is uncertain when, if ever, the Company will realize revenue from product sales.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5"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 xml:space="preserve">In accordance with the Financial Accounting Standards Board (“FASB”) Accounting Standards Update (“ASU”) 2014-15,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about an Entity’s Ability to Continue as a Going Concern (Subtopic 205-40)</w:t>
      </w:r>
      <w:r>
        <w:rPr>
          <w:rFonts w:ascii="Arial" w:cs="Arial" w:eastAsia="Arial" w:hAnsi="Arial"/>
          <w:sz w:val="18"/>
          <w:szCs w:val="18"/>
          <w:color w:val="auto"/>
        </w:rPr>
        <w:t>, the Company has evaluated whether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events, considered in the aggregate, that raise substantial doubt about the Company’s ability to continue as a going concern within one year after the date that these condensed consolidated financial statements are issued.</w:t>
      </w:r>
    </w:p>
    <w:p>
      <w:pPr>
        <w:spacing w:after="0" w:line="176" w:lineRule="exact"/>
        <w:rPr>
          <w:sz w:val="20"/>
          <w:szCs w:val="20"/>
          <w:color w:val="auto"/>
        </w:rPr>
      </w:pPr>
    </w:p>
    <w:p>
      <w:pPr>
        <w:ind w:right="140" w:firstLine="445"/>
        <w:spacing w:after="0" w:line="268" w:lineRule="auto"/>
        <w:rPr>
          <w:sz w:val="20"/>
          <w:szCs w:val="20"/>
          <w:color w:val="auto"/>
        </w:rPr>
      </w:pPr>
      <w:r>
        <w:rPr>
          <w:rFonts w:ascii="Arial" w:cs="Arial" w:eastAsia="Arial" w:hAnsi="Arial"/>
          <w:sz w:val="18"/>
          <w:szCs w:val="18"/>
          <w:color w:val="auto"/>
        </w:rPr>
        <w:t>The Company has incurred recurring losses since its inception, including a net loss of $72.2 million for the six months ended June 30, 2024. In addition, as of June 30, 2024, the Company had an accumulated deficit of $726.2 million. The Company expects to continue to generate operating losses for the foreseeable future.</w:t>
      </w:r>
    </w:p>
    <w:p>
      <w:pPr>
        <w:spacing w:after="0" w:line="171" w:lineRule="exact"/>
        <w:rPr>
          <w:sz w:val="20"/>
          <w:szCs w:val="20"/>
          <w:color w:val="auto"/>
        </w:rPr>
      </w:pPr>
    </w:p>
    <w:p>
      <w:pPr>
        <w:ind w:right="100" w:firstLine="445"/>
        <w:spacing w:after="0" w:line="275" w:lineRule="auto"/>
        <w:rPr>
          <w:sz w:val="20"/>
          <w:szCs w:val="20"/>
          <w:color w:val="auto"/>
        </w:rPr>
      </w:pPr>
      <w:r>
        <w:rPr>
          <w:rFonts w:ascii="Arial" w:cs="Arial" w:eastAsia="Arial" w:hAnsi="Arial"/>
          <w:sz w:val="17"/>
          <w:szCs w:val="17"/>
          <w:color w:val="auto"/>
        </w:rPr>
        <w:t>The Company expects that its cash, cash equivalents and marketable securities as of June 30, 2024 of $433.8 million will be sufficient to fund its operating expenditures and capital expenditure requirements necessary to advance its research efforts and clinical trials for at least one year from the date of issuance of these condensed consolidated financial statements.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76" w:lineRule="exact"/>
        <w:rPr>
          <w:sz w:val="20"/>
          <w:szCs w:val="20"/>
          <w:color w:val="auto"/>
        </w:rPr>
      </w:pPr>
    </w:p>
    <w:p>
      <w:pPr>
        <w:ind w:right="7220" w:firstLine="8"/>
        <w:spacing w:after="0" w:line="375" w:lineRule="auto"/>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171" w:lineRule="exact"/>
        <w:rPr>
          <w:sz w:val="20"/>
          <w:szCs w:val="20"/>
          <w:color w:val="auto"/>
        </w:rPr>
      </w:pPr>
    </w:p>
    <w:p>
      <w:pPr>
        <w:ind w:right="460" w:firstLine="445"/>
        <w:spacing w:after="0" w:line="268"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and six months ended June 30, 2024 are consistent with those discussed in Note 2 to the consolidated financial statements included in the Company's 2023 Annual Report on Form 10-K, other than as noted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115" w:lineRule="exact"/>
        <w:rPr>
          <w:sz w:val="20"/>
          <w:szCs w:val="20"/>
          <w:color w:val="auto"/>
        </w:rPr>
      </w:pPr>
    </w:p>
    <w:p>
      <w:pPr>
        <w:ind w:right="220" w:firstLine="445"/>
        <w:spacing w:after="0" w:line="291" w:lineRule="auto"/>
        <w:rPr>
          <w:sz w:val="20"/>
          <w:szCs w:val="20"/>
          <w:color w:val="auto"/>
        </w:rPr>
      </w:pPr>
      <w:r>
        <w:rPr>
          <w:rFonts w:ascii="Arial" w:cs="Arial" w:eastAsia="Arial" w:hAnsi="Arial"/>
          <w:sz w:val="17"/>
          <w:szCs w:val="17"/>
          <w:color w:val="auto"/>
        </w:rPr>
        <w:t>On November 28, 2023, the Company filed a Certificate of Amendment to the Company's Amended and Restated Certificate of Incorporation with the Secretary of State of the State of Delaware to effect a 1-for-15 reverse stock split of its common stock (the "Reverse Stock Split"). The Reverse Stock Split became effective at 5:00 p.m., Eastern Time, on November 28, 2023 (the "Effective Time").</w:t>
      </w:r>
    </w:p>
    <w:p>
      <w:pPr>
        <w:spacing w:after="0" w:line="153"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As a result of the Reverse Stock Split, every 15 shares of the Company's issued and outstanding common stock were automatically reclassified into one validly issued, fully-paid and non-assessable share of common stock. Any fractional post-split shares as a result of the Reverse Stock Split were rounded down to the nearest whole post-split share. The Reverse Stock Split did not affect the number of authorized shares of common stock or the par value of the common stock. All share amounts and per share amounts for the periods prior to the Effective Time disclosed in this Quarterly Report on Form 10-Q have been restated to reflect the Reverse Stock Split on a retroactive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 Classification</w:t>
      </w:r>
    </w:p>
    <w:p>
      <w:pPr>
        <w:spacing w:after="0" w:line="115"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The Company may invest its excess cash in money market funds and debt instruments of the U.S. Treasury, financial institutions, corporations and U.S. government agencies with strong credit ratings and an investment grade rating at or above A-1 or P-1 by two of the three nationally recognized statistical rating organizations. The Company does not believe that it is exposed to more than a nominal amount of credit risk related to any marketable securities it may invest in. The Company has established guidelines relative to diversification and maturities that maintain</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12" w:name="page13"/>
    <w:bookmarkEnd w:id="12"/>
    <w:p>
      <w:pPr>
        <w:ind w:right="980"/>
        <w:spacing w:after="0" w:line="287" w:lineRule="auto"/>
        <w:rPr>
          <w:sz w:val="20"/>
          <w:szCs w:val="20"/>
          <w:color w:val="auto"/>
        </w:rPr>
      </w:pPr>
      <w:r>
        <w:rPr>
          <w:rFonts w:ascii="Arial" w:cs="Arial" w:eastAsia="Arial" w:hAnsi="Arial"/>
          <w:sz w:val="18"/>
          <w:szCs w:val="18"/>
          <w:color w:val="auto"/>
        </w:rPr>
        <w:t>safety and liquidity, and periodically reviews and modifies these guidelines to maximize trends in yields and interest rates without compromising safety and liquidity.</w:t>
      </w:r>
    </w:p>
    <w:p>
      <w:pPr>
        <w:spacing w:after="0" w:line="45" w:lineRule="exact"/>
        <w:rPr>
          <w:sz w:val="20"/>
          <w:szCs w:val="20"/>
          <w:color w:val="auto"/>
        </w:rPr>
      </w:pPr>
    </w:p>
    <w:p>
      <w:pPr>
        <w:ind w:right="260" w:firstLine="445"/>
        <w:spacing w:after="0" w:line="257" w:lineRule="auto"/>
        <w:rPr>
          <w:sz w:val="20"/>
          <w:szCs w:val="20"/>
          <w:color w:val="auto"/>
        </w:rPr>
      </w:pPr>
      <w:r>
        <w:rPr>
          <w:rFonts w:ascii="Arial" w:cs="Arial" w:eastAsia="Arial" w:hAnsi="Arial"/>
          <w:sz w:val="18"/>
          <w:szCs w:val="18"/>
          <w:color w:val="auto"/>
        </w:rPr>
        <w:t>The Company classifies its investments in debt instruments as available-for-sale. Available-for-sale investments are reported at fair value at each balance sheet date, and include any unrealized holding gains and losses in accumulated other comprehensive loss, a component of stockholders’ equity. Realized gains and losses are included in the Company's condensed consolidated statements of operations. All of the Company's available-for-sale securities are available for use in its current operations. The Company classifies marketable securities as either cash equivalents, short-term, or long-term based on their stated maturity dates as it is more-likely-than-not that the Company will hold these assets through to their maturity 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115"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accompanying condensed consolidated balance sheet as of June 30, 2024, the condensed consolidated statements of operations for the three and six months ended June 30, 2024 and 2023, the condensed consolidated statements of comprehensive loss for the three and six months ended June 30, 2024 and 2023, the condensed consolidated statements of cash flows for the six months ended June 30, 2024 and 2023 and the condensed consolidated statements of stockholders’ equity for the three and six months ended June 30, 2024 and 2023 are unaudited. The unaudited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June 30, 2024, the results of its operations for the three and six months ended June 30, 2024 and 2023 and its cash flows for the six months ended June 30, 2024 and 2023. Financial statement disclosures for the three and six months ended June 30, 2024 and 2023 are condensed and do not include all disclosures required for an annual set of financial statements in accordance with GAAP.</w:t>
      </w:r>
    </w:p>
    <w:p>
      <w:pPr>
        <w:spacing w:after="0" w:line="185" w:lineRule="exact"/>
        <w:rPr>
          <w:sz w:val="20"/>
          <w:szCs w:val="20"/>
          <w:color w:val="auto"/>
        </w:rPr>
      </w:pPr>
    </w:p>
    <w:p>
      <w:pPr>
        <w:ind w:right="500" w:firstLine="445"/>
        <w:spacing w:after="0" w:line="287" w:lineRule="auto"/>
        <w:rPr>
          <w:sz w:val="20"/>
          <w:szCs w:val="20"/>
          <w:color w:val="auto"/>
        </w:rPr>
      </w:pPr>
      <w:r>
        <w:rPr>
          <w:rFonts w:ascii="Arial" w:cs="Arial" w:eastAsia="Arial" w:hAnsi="Arial"/>
          <w:sz w:val="18"/>
          <w:szCs w:val="18"/>
          <w:color w:val="auto"/>
        </w:rPr>
        <w:t>The results for the three and six months ended June 30, 2024 are not necessarily indicative of results to be expected for the year ended December 31, 2024, any other interim periods, or any future year or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accrued and prepaid research and development expense, collaboration revenue, stock-based compensation expense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5"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 xml:space="preserve">The Company accounts for warrants to purchase shares of its common stock in accordance with the guidance in FASB ASC No. 480,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(ASC 480) and ASC No. 815,</w:t>
      </w:r>
      <w:r>
        <w:rPr>
          <w:rFonts w:ascii="Arial" w:cs="Arial" w:eastAsia="Arial" w:hAnsi="Arial"/>
          <w:sz w:val="18"/>
          <w:szCs w:val="18"/>
          <w:i w:val="1"/>
          <w:iCs w:val="1"/>
          <w:color w:val="auto"/>
        </w:rPr>
        <w:t xml:space="preserve"> Derivatives and Hedging </w:t>
      </w:r>
      <w:r>
        <w:rPr>
          <w:rFonts w:ascii="Arial" w:cs="Arial" w:eastAsia="Arial" w:hAnsi="Arial"/>
          <w:sz w:val="18"/>
          <w:szCs w:val="18"/>
          <w:color w:val="auto"/>
        </w:rPr>
        <w:t>(ASC 815). The Company classifies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for the purchase of shares of its common stock as either equity or liability instruments based on an assessment of the specific terms and conditions of each respective contract. Such assessment includes determining whether the warrants are freestanding financial instruments or embedded in a host instrument, whether the warrants are liabilities within the scope of ASC 480, whether the warrants meet the definition of a derivative in ASC 815 and whether the warrants meet the requirements for equity classification pursuant to the indexation and equity classification criteria in ASC 815. The Company determines the classification for its warrants at the time of issuance and updates its assessment, as necessary. Warrants that meet all of the criteria for equity classification are recorded as a component of additional paid-in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5"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Basic net loss per share is computed by dividing net loss by the weighted average number of common shares outstanding for the period. The calculation of weighted average number of common shares outstanding excludes shares of restricted common stock that are not vested but includes shares of common stock underlying pre-funded warrants. Diluted net loss per share is computed by dividing net loss by the weighted average number of common shares outstanding for the period, after giving consideration to the dilutive effect of potentially dilutive common</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13" w:name="page14"/>
    <w:bookmarkEnd w:id="13"/>
    <w:p>
      <w:pPr>
        <w:ind w:right="20"/>
        <w:spacing w:after="0" w:line="262" w:lineRule="auto"/>
        <w:rPr>
          <w:sz w:val="20"/>
          <w:szCs w:val="20"/>
          <w:color w:val="auto"/>
        </w:rPr>
      </w:pPr>
      <w:r>
        <w:rPr>
          <w:rFonts w:ascii="Arial" w:cs="Arial" w:eastAsia="Arial" w:hAnsi="Arial"/>
          <w:sz w:val="18"/>
          <w:szCs w:val="18"/>
          <w:color w:val="auto"/>
        </w:rPr>
        <w:t>shares. For purposes of this calculation, outstanding options to purchase shares of common stock, unvested shares of restricted common stock and potential shares issuable under the 2020 ESPP are considered potentially dilutive common shares. The Company has generated a net loss in all periods presented so the basic and diluted net loss per share are the same, as the inclusion of the potentially dilutive securities would be anti-dilutive.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5"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 xml:space="preserve">On November 27, 2023, the FASB issued ASU No. 2023-07, </w:t>
      </w:r>
      <w:r>
        <w:rPr>
          <w:rFonts w:ascii="Arial" w:cs="Arial" w:eastAsia="Arial" w:hAnsi="Arial"/>
          <w:sz w:val="18"/>
          <w:szCs w:val="18"/>
          <w:i w:val="1"/>
          <w:iCs w:val="1"/>
          <w:color w:val="auto"/>
        </w:rPr>
        <w:t>Segment Reporting (Topic 280) - Improvements to Reportable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ASU No. 2023-07 improves reportable segment disclosure requirements, primarily through enhanced disclosures about</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segment expenses. The amendments included in this ASU apply to all public entities that are required to report segment information in accordance with Topic 280, including those with a single reportable segment. The amendments are effective for fiscal years beginning after December 15, 2023, and interim periods within fiscal years beginning after December 15, 2024. Early adoption is permitted and should be applied retrospectively to all prior periods presented in the financial statements. Upon transition, the segment expenses categories and amounts disclosed in the prior periods should be based on the significant segment expense categories identified and disclosed in the period of adoption. The Company only has one reportable segment and this ASU impacts disclosures only. The Company has determined that the effects of adopting the amendments in ASU 2023-07 will only impact its disclosures and not have a material impact on its consolidated financial position and the results of its operations when such amendment is adopted.</w:t>
      </w:r>
    </w:p>
    <w:p>
      <w:pPr>
        <w:spacing w:after="0" w:line="77"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 xml:space="preserve">On December 14, 2023, the FASB issued ASU No. 2023-09, </w:t>
      </w:r>
      <w:r>
        <w:rPr>
          <w:rFonts w:ascii="Arial" w:cs="Arial" w:eastAsia="Arial" w:hAnsi="Arial"/>
          <w:sz w:val="18"/>
          <w:szCs w:val="18"/>
          <w:i w:val="1"/>
          <w:iCs w:val="1"/>
          <w:color w:val="auto"/>
        </w:rPr>
        <w:t>Income Taxes (Topic 740) - Improvements to Income Tax Disclosures</w:t>
      </w:r>
      <w:r>
        <w:rPr>
          <w:rFonts w:ascii="Arial" w:cs="Arial" w:eastAsia="Arial" w:hAnsi="Arial"/>
          <w:sz w:val="18"/>
          <w:szCs w:val="18"/>
          <w:color w:val="auto"/>
        </w:rPr>
        <w:t>. ASU No. 2023-09 provides more transparency about income tax information through improvements to income tax disclosures primarily related to the rate reconciliation and incomes taxes paid information. For public companies, the amendments are effective for annual periods beginning after December 15, 2024 and should be applied prospectively. The Company has determined that the effects of adopting the amendments in ASU 2023-09 will only impact its disclosures and will not have a material impact on its consolidated financial position and the results of its operations when such amendment is adopted.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Marketable Securities</w:t>
      </w:r>
    </w:p>
    <w:p>
      <w:pPr>
        <w:spacing w:after="0" w:line="117" w:lineRule="exact"/>
        <w:rPr>
          <w:sz w:val="20"/>
          <w:szCs w:val="20"/>
          <w:color w:val="auto"/>
        </w:rPr>
      </w:pPr>
    </w:p>
    <w:p>
      <w:pPr>
        <w:ind w:right="180" w:firstLine="445"/>
        <w:spacing w:after="0" w:line="287" w:lineRule="auto"/>
        <w:rPr>
          <w:sz w:val="20"/>
          <w:szCs w:val="20"/>
          <w:color w:val="auto"/>
        </w:rPr>
      </w:pPr>
      <w:r>
        <w:rPr>
          <w:rFonts w:ascii="Arial" w:cs="Arial" w:eastAsia="Arial" w:hAnsi="Arial"/>
          <w:sz w:val="18"/>
          <w:szCs w:val="18"/>
          <w:color w:val="auto"/>
        </w:rPr>
        <w:t>The following is a summary of the Company's investment portfolio as of June 30, 2024 (in thousands). The Company did not hold any cash equivalents or marketable securities as of December 31,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As of June 30, 2024</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ind w:left="140"/>
              <w:spacing w:after="0"/>
              <w:rPr>
                <w:sz w:val="20"/>
                <w:szCs w:val="20"/>
                <w:color w:val="auto"/>
              </w:rPr>
            </w:pPr>
            <w:r>
              <w:rPr>
                <w:rFonts w:ascii="Arial" w:cs="Arial" w:eastAsia="Arial" w:hAnsi="Arial"/>
                <w:sz w:val="16"/>
                <w:szCs w:val="16"/>
                <w:b w:val="1"/>
                <w:bCs w:val="1"/>
                <w:color w:val="auto"/>
              </w:rPr>
              <w:t>Gross Unrealized</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Estimated</w:t>
            </w:r>
          </w:p>
        </w:tc>
      </w:tr>
      <w:tr>
        <w:trPr>
          <w:trHeight w:val="217"/>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6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5"/>
        </w:trPr>
        <w:tc>
          <w:tcPr>
            <w:tcW w:w="6060" w:type="dxa"/>
            <w:vAlign w:val="bottom"/>
          </w:tcPr>
          <w:p>
            <w:pPr>
              <w:ind w:left="24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35,120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35,120</w:t>
            </w:r>
          </w:p>
        </w:tc>
      </w:tr>
      <w:tr>
        <w:trPr>
          <w:trHeight w:val="217"/>
        </w:trPr>
        <w:tc>
          <w:tcPr>
            <w:tcW w:w="6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8,980</w:t>
            </w:r>
          </w:p>
        </w:tc>
      </w:tr>
      <w:tr>
        <w:trPr>
          <w:trHeight w:val="215"/>
        </w:trPr>
        <w:tc>
          <w:tcPr>
            <w:tcW w:w="6060" w:type="dxa"/>
            <w:vAlign w:val="bottom"/>
          </w:tcPr>
          <w:p>
            <w:pPr>
              <w:ind w:left="24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4,270</w:t>
            </w:r>
          </w:p>
        </w:tc>
      </w:tr>
      <w:tr>
        <w:trPr>
          <w:trHeight w:val="217"/>
        </w:trPr>
        <w:tc>
          <w:tcPr>
            <w:tcW w:w="6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4,975</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Available-for-sale marketable securities: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6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178,087</w:t>
            </w:r>
          </w:p>
        </w:tc>
      </w:tr>
      <w:tr>
        <w:trPr>
          <w:trHeight w:val="215"/>
        </w:trPr>
        <w:tc>
          <w:tcPr>
            <w:tcW w:w="6060" w:type="dxa"/>
            <w:vAlign w:val="bottom"/>
          </w:tcPr>
          <w:p>
            <w:pPr>
              <w:ind w:left="24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88,089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88,055</w:t>
            </w:r>
          </w:p>
        </w:tc>
      </w:tr>
      <w:tr>
        <w:trPr>
          <w:trHeight w:val="217"/>
        </w:trPr>
        <w:tc>
          <w:tcPr>
            <w:tcW w:w="6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14,488</w:t>
            </w:r>
          </w:p>
        </w:tc>
      </w:tr>
      <w:tr>
        <w:trPr>
          <w:trHeight w:val="215"/>
        </w:trPr>
        <w:tc>
          <w:tcPr>
            <w:tcW w:w="6060" w:type="dxa"/>
            <w:vAlign w:val="bottom"/>
          </w:tcPr>
          <w:p>
            <w:pPr>
              <w:ind w:left="240"/>
              <w:spacing w:after="0"/>
              <w:rPr>
                <w:sz w:val="20"/>
                <w:szCs w:val="20"/>
                <w:color w:val="auto"/>
              </w:rPr>
            </w:pPr>
            <w:r>
              <w:rPr>
                <w:rFonts w:ascii="Arial" w:cs="Arial" w:eastAsia="Arial" w:hAnsi="Arial"/>
                <w:sz w:val="16"/>
                <w:szCs w:val="16"/>
                <w:color w:val="auto"/>
              </w:rPr>
              <w:t>Other debt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8,058</w:t>
            </w:r>
          </w:p>
        </w:tc>
      </w:tr>
      <w:tr>
        <w:trPr>
          <w:trHeight w:val="235"/>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equivalents and marketable securities</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342,104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342,033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As of June 30, 2024, the Company had 119 securities with a total fair market value of $227.0 million in an unrealized loss position. The Company believes that any unrealized losses associated with the decline in value of its securities is temporary and primarily related to the change in market interest rates since purchase, and believes that it is more likely than not that it will be able to hold its debt securities to maturity. The Company anticipates a full recovery of the amortized cost basis of its debt securities at maturity and an allowance was not recognized.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Contractual maturities of the marketable securities at each balance sheet date are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2024</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Within one year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224,961</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After one year through five years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81,952</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306,913</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firstLine="445"/>
        <w:spacing w:after="0" w:line="287" w:lineRule="auto"/>
        <w:rPr>
          <w:sz w:val="20"/>
          <w:szCs w:val="20"/>
          <w:color w:val="auto"/>
        </w:rPr>
      </w:pPr>
      <w:r>
        <w:rPr>
          <w:rFonts w:ascii="Arial" w:cs="Arial" w:eastAsia="Arial" w:hAnsi="Arial"/>
          <w:sz w:val="18"/>
          <w:szCs w:val="18"/>
          <w:color w:val="auto"/>
        </w:rPr>
        <w:t>Securities are evaluated for impairment at the end of each reporting period. The Company did not record any impairment related to its available-for-sale securities during the three and six months ended June 30, 2024 and 2023.</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17" w:lineRule="exact"/>
        <w:rPr>
          <w:sz w:val="20"/>
          <w:szCs w:val="20"/>
          <w:color w:val="auto"/>
        </w:rPr>
      </w:pPr>
    </w:p>
    <w:p>
      <w:pPr>
        <w:ind w:right="260" w:firstLine="445"/>
        <w:spacing w:after="0" w:line="268" w:lineRule="auto"/>
        <w:rPr>
          <w:sz w:val="20"/>
          <w:szCs w:val="20"/>
          <w:color w:val="auto"/>
        </w:rPr>
      </w:pPr>
      <w:r>
        <w:rPr>
          <w:rFonts w:ascii="Arial" w:cs="Arial" w:eastAsia="Arial" w:hAnsi="Arial"/>
          <w:sz w:val="18"/>
          <w:szCs w:val="18"/>
          <w:color w:val="auto"/>
        </w:rPr>
        <w:t>Fair value is defined as the price that would be received to sell an asset in an orderly transaction between market participants at the measurement date. The Company categorizes financial assets measured at fair value based on a fair value hierarchy. The following fair value hierarchy is used to classify financial assets based on observable inputs and unobservable inputs used to value the financial assets:</w:t>
      </w:r>
    </w:p>
    <w:p>
      <w:pPr>
        <w:spacing w:after="0" w:line="6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that are accessible at the measurement date for identical assets;</w:t>
      </w:r>
    </w:p>
    <w:p>
      <w:pPr>
        <w:spacing w:after="0" w:line="117" w:lineRule="exact"/>
        <w:rPr>
          <w:rFonts w:ascii="Arial" w:cs="Arial" w:eastAsia="Arial" w:hAnsi="Arial"/>
          <w:sz w:val="18"/>
          <w:szCs w:val="18"/>
          <w:color w:val="auto"/>
        </w:rPr>
      </w:pPr>
    </w:p>
    <w:p>
      <w:pPr>
        <w:ind w:left="660" w:right="84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Quoted prices for similar assets in active markets, quoted prices in markets that are not active, or inputs which are unobservable, either directly or indirectly, for substantially the full term of the asset; or</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valuation of the asset and unobservable.</w:t>
      </w:r>
    </w:p>
    <w:p>
      <w:pPr>
        <w:spacing w:after="0" w:line="225" w:lineRule="exact"/>
        <w:rPr>
          <w:sz w:val="20"/>
          <w:szCs w:val="20"/>
          <w:color w:val="auto"/>
        </w:rPr>
      </w:pPr>
    </w:p>
    <w:p>
      <w:pPr>
        <w:ind w:firstLine="445"/>
        <w:spacing w:after="0" w:line="268"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indicates the level of the fair value hierarchy utilized to determine such fair values as of June 30, 2024 (in thousands). The Company did not hold any financial assets measured at fair value on a recurring basis as of December 31, 2023.</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As of June 30, 2024</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9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Money market funds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35,120</w:t>
            </w: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8,980</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4,270</w:t>
            </w: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4,975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4,975</w:t>
            </w:r>
          </w:p>
        </w:tc>
      </w:tr>
      <w:tr>
        <w:trPr>
          <w:trHeight w:val="21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marketable securities: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178,087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178,087</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88,055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88,055</w:t>
            </w: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14,488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14,488</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8,058</w:t>
            </w:r>
          </w:p>
        </w:tc>
      </w:tr>
      <w:tr>
        <w:trPr>
          <w:trHeight w:val="209"/>
        </w:trPr>
        <w:tc>
          <w:tcPr>
            <w:tcW w:w="5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222,187</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119,846</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342,033</w:t>
            </w:r>
          </w:p>
        </w:tc>
      </w:tr>
      <w:tr>
        <w:trPr>
          <w:trHeight w:val="21"/>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2024</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7,353</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2,957</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Accrued personnel-related expenses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2,064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3,716</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 expenses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w:t>
            </w:r>
          </w:p>
        </w:tc>
      </w:tr>
      <w:tr>
        <w:trPr>
          <w:trHeight w:val="210"/>
        </w:trPr>
        <w:tc>
          <w:tcPr>
            <w:tcW w:w="8060" w:type="dxa"/>
            <w:vAlign w:val="bottom"/>
          </w:tcPr>
          <w:p>
            <w:pPr>
              <w:ind w:left="460"/>
              <w:spacing w:after="0"/>
              <w:rPr>
                <w:sz w:val="20"/>
                <w:szCs w:val="20"/>
                <w:color w:val="auto"/>
              </w:rPr>
            </w:pPr>
            <w:r>
              <w:rPr>
                <w:rFonts w:ascii="Arial" w:cs="Arial" w:eastAsia="Arial" w:hAnsi="Arial"/>
                <w:sz w:val="16"/>
                <w:szCs w:val="16"/>
                <w:color w:val="auto"/>
              </w:rPr>
              <w:t>Total 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10,058</w:t>
            </w:r>
          </w:p>
        </w:tc>
        <w:tc>
          <w:tcPr>
            <w:tcW w:w="100" w:type="dxa"/>
            <w:vAlign w:val="bottom"/>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7,416</w:t>
            </w:r>
          </w:p>
        </w:tc>
      </w:tr>
      <w:tr>
        <w:trPr>
          <w:trHeight w:val="21"/>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1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In May 2021, the Company entered into a sublease agreement for office space located in Boston, Massachusetts that expires on January 31, 2026, with no option to renew or terminate early. The base rent increases by approximately 2% annually. The Company issued a letter of credit to the landlord related to the security deposit, secured by restricted cash, which is reflected within other non-current assets on the accompanying condensed consolidated balance sheets as of June 30, 2024 and December 31, 2023. This lease qualifies as an operating lease.</w:t>
      </w:r>
    </w:p>
    <w:p>
      <w:pPr>
        <w:spacing w:after="0" w:line="287" w:lineRule="exact"/>
        <w:rPr>
          <w:sz w:val="20"/>
          <w:szCs w:val="20"/>
          <w:color w:val="auto"/>
        </w:rPr>
      </w:pPr>
    </w:p>
    <w:p>
      <w:pPr>
        <w:ind w:right="7700" w:firstLine="8"/>
        <w:spacing w:after="0" w:line="397" w:lineRule="auto"/>
        <w:tabs>
          <w:tab w:leader="none" w:pos="2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Collaboration and License Agreements </w:t>
      </w:r>
      <w:r>
        <w:rPr>
          <w:rFonts w:ascii="Arial" w:cs="Arial" w:eastAsia="Arial" w:hAnsi="Arial"/>
          <w:sz w:val="17"/>
          <w:szCs w:val="17"/>
          <w:b w:val="1"/>
          <w:bCs w:val="1"/>
          <w:i w:val="1"/>
          <w:iCs w:val="1"/>
          <w:color w:val="auto"/>
        </w:rPr>
        <w:t>UCB Option and License Agreement</w:t>
      </w:r>
    </w:p>
    <w:p>
      <w:pPr>
        <w:spacing w:after="0" w:line="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December 2022, the Company entered into an Option and License Agreement (“the Collaboration Agreement”) with UCB Biopharma SRL (“UCB”) for the discovery of small molecule therapeutics as potential treatments of KCNT1-related epilepsies. Under the terms of the Collaboration Agreement, the Company has agreed to perform general biology-related research services as part of a mutually agreed upon research plan in exchange for a $5.0 million upfront payment. In addition, the Company provided UCB an exclusive option to in-license global development and commercialization rights to any resulting KCNT1 small molecule development candidate identified as part of the research plan. If UCB exercises its option to in-license global development and commercialization rights, the Collaboration Agreement stipulates that UCB will assume research, development, manufacturing and commercialization responsibilities and costs. Under the terms of the Collaboration Agreement, the Company will be eligible to receive an option fee and future success-based development and commercialization milestone payments, totaling up to $98.5 million, in addition to tiered royalties on net sales of any resulting products from the Collaboration Agreement.</w:t>
      </w:r>
    </w:p>
    <w:p>
      <w:pPr>
        <w:spacing w:after="0" w:line="77"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 Company concluded that UCB is a customer, and as such, the arrangement falls within the scope of Topic 606. At the commencement of the Collaboration Agreement, the Company identified one performance obligation, which was to perform the research services for UCB. The Company determined the transaction price to be $5.0 million, comprised of the upfront payment it received. The option provided to UCB was determined not to be a material right.</w:t>
      </w:r>
    </w:p>
    <w:p>
      <w:pPr>
        <w:spacing w:after="0" w:line="68"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The Company recognizes revenue for its research services performance obligation over time using an input method over the duration of the research services. During the three and six months ended June 30, 2024, the Company recognized $0.4 million and $0.8 million, respectively, in collaboration revenue related to the Collaboration Agreement in the condensed consolidated statement of operations. As of June 30, 2024, $1.8 million was included in deferred revenue in the condensed consolidated balance sheet, of which $1.2 million was classified as current.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Tenacia Collaboration and License Agreement</w:t>
      </w:r>
    </w:p>
    <w:p>
      <w:pPr>
        <w:spacing w:after="0" w:line="115"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On January 4, 2024, the Company entered into an exclusive collaboration and license Agreement (“the License Agreement”) with Tenacia Biotechnology (Shanghai) Co., Ltd. (“Tenacia”), a China-based portfolio company of Bain Capital, which provides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 The Company also entered into a Stock Purchase Agreement (“the Stock Purchase Agreement”) with BCPE Tenet Holdings Cayman, Ltd. (“BCPE”), a related party of Tenacia. Pursuant to the terms of the License Agreement, the Company was entitled to an up-front, non-refundable and non-creditable cash payment of $5.0 million, net of certain tax withholdings. In addition, the Company is eligible to receive $264.0 million in success-based development and commercialization milestone payments as well as tiered royalties on net sales. Pursuant to the terms of the Stock Purchase Agreement, the Company issued and sold 443,253 shares of its common stock to BCPE at a price per share of $22.5605 for aggregate gross proceeds of $10.0 million. The per share price was based on a 20% premium over the 30-day volume-weighted average price.</w:t>
      </w:r>
    </w:p>
    <w:p>
      <w:pPr>
        <w:spacing w:after="0" w:line="74"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Under the terms of the License Agreement, the Company granted to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w:t>
      </w:r>
    </w:p>
    <w:p>
      <w:pPr>
        <w:spacing w:after="0" w:line="68" w:lineRule="exact"/>
        <w:rPr>
          <w:sz w:val="20"/>
          <w:szCs w:val="20"/>
          <w:color w:val="auto"/>
        </w:rPr>
      </w:pPr>
    </w:p>
    <w:p>
      <w:pPr>
        <w:ind w:right="120" w:firstLine="445"/>
        <w:spacing w:after="0" w:line="268" w:lineRule="auto"/>
        <w:rPr>
          <w:sz w:val="20"/>
          <w:szCs w:val="20"/>
          <w:color w:val="auto"/>
        </w:rPr>
      </w:pPr>
      <w:r>
        <w:rPr>
          <w:rFonts w:ascii="Arial" w:cs="Arial" w:eastAsia="Arial" w:hAnsi="Arial"/>
          <w:sz w:val="18"/>
          <w:szCs w:val="18"/>
          <w:color w:val="auto"/>
        </w:rPr>
        <w:t>The Company concluded that the License Agreement and the Stock Purchase Agreement is a combined arrangement since they were executed at the same time and in contemplation of each other with the same counterparty or a related party thereof and the combined arrangement falls within the scope of Topic 606.</w:t>
      </w:r>
    </w:p>
    <w:p>
      <w:pPr>
        <w:spacing w:after="0" w:line="63"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The Company’s obligations under the arrangement comprise a single promise, or one performance obligation, related to the exclusive development and commercialization license granted to Tenacia. Total proceeds associated with the combined arrangement at inception were $14.8 million consisting of the following: (i) $10.0 million gross proceeds from the sale of common stock under the Stock Purchase Agreement and (ii) $4.8 million, net of tax, related to the up-front payment under the License Agreement, both of which were received in January 2024. During the three and six months ended June 30, 2024, the Company had not achieved any development or sales milestones or earned any royalties under the License Agreement.</w:t>
      </w:r>
    </w:p>
    <w:p>
      <w:pPr>
        <w:spacing w:after="0" w:line="74"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Company recorded the common stock sold to BCPE at its issuance date fair value of $38.95 per share, or $17.3 million in the aggregate, which exceeded the proceeds received which were calculated based on the 20% premium over the prior 30-day volume-weighted average price. Accordingly, there is no transaction price allocable to the performance obligation. The Company accounted for the excess of the fair value of the equity securities issued over the total proceeds received as consideration paid to a customer for which no distinct good or service was transferred in exchange. As a result, the transaction gives rise to negative revenue on a cumulative basis in the amount of $2.5 million, which was recorded in research and development expense in the accompanying condensed consolidated statement of operations for the three months ended March 31, 2024. For agreements where the licenses are considered separate performance obligations or represent the only performance obligation, the Company recognizes revenue at the point in time that the Company effectively grants the license, as the licenses or assignments represent functional intellectual property.</w:t>
      </w:r>
    </w:p>
    <w:p>
      <w:pPr>
        <w:spacing w:after="0" w:line="73" w:lineRule="exact"/>
        <w:rPr>
          <w:sz w:val="20"/>
          <w:szCs w:val="20"/>
          <w:color w:val="auto"/>
        </w:rPr>
      </w:pPr>
    </w:p>
    <w:p>
      <w:pPr>
        <w:ind w:right="440" w:firstLine="445"/>
        <w:spacing w:after="0" w:line="262" w:lineRule="auto"/>
        <w:rPr>
          <w:sz w:val="20"/>
          <w:szCs w:val="20"/>
          <w:color w:val="auto"/>
        </w:rPr>
      </w:pPr>
      <w:r>
        <w:rPr>
          <w:rFonts w:ascii="Arial" w:cs="Arial" w:eastAsia="Arial" w:hAnsi="Arial"/>
          <w:sz w:val="18"/>
          <w:szCs w:val="18"/>
          <w:color w:val="auto"/>
        </w:rPr>
        <w:t>As of June 30, 2024, the Company did not have any receivables or deferred revenue related to the arrangement with Tenacia. The Company did not recognize any contract assets related to costs to obtain a contract with a customer or costs to fulfill a contract with a customer through June 30, 2024 because no qualifying costs were incurred. During the three and six months ended June 30, 2024, the Company did not recognize any revenue associated with the combined arrangement.</w:t>
      </w:r>
    </w:p>
    <w:p>
      <w:pPr>
        <w:spacing w:after="0" w:line="284" w:lineRule="exact"/>
        <w:rPr>
          <w:sz w:val="20"/>
          <w:szCs w:val="20"/>
          <w:color w:val="auto"/>
        </w:rPr>
      </w:pPr>
    </w:p>
    <w:p>
      <w:pPr>
        <w:ind w:right="7960" w:firstLine="8"/>
        <w:spacing w:after="0" w:line="375" w:lineRule="auto"/>
        <w:tabs>
          <w:tab w:leader="none" w:pos="2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Common Stock and Preferred Stock </w:t>
      </w:r>
      <w:r>
        <w:rPr>
          <w:rFonts w:ascii="Arial" w:cs="Arial" w:eastAsia="Arial" w:hAnsi="Arial"/>
          <w:sz w:val="18"/>
          <w:szCs w:val="18"/>
          <w:b w:val="1"/>
          <w:bCs w:val="1"/>
          <w:i w:val="1"/>
          <w:iCs w:val="1"/>
          <w:color w:val="auto"/>
        </w:rPr>
        <w:t>Reverse Stock Split</w:t>
      </w:r>
    </w:p>
    <w:p>
      <w:pPr>
        <w:spacing w:after="0" w:line="1" w:lineRule="exact"/>
        <w:rPr>
          <w:sz w:val="20"/>
          <w:szCs w:val="20"/>
          <w:color w:val="auto"/>
        </w:rPr>
      </w:pPr>
    </w:p>
    <w:p>
      <w:pPr>
        <w:ind w:right="260" w:firstLine="445"/>
        <w:spacing w:after="0" w:line="268" w:lineRule="auto"/>
        <w:rPr>
          <w:sz w:val="20"/>
          <w:szCs w:val="20"/>
          <w:color w:val="auto"/>
        </w:rPr>
      </w:pPr>
      <w:r>
        <w:rPr>
          <w:rFonts w:ascii="Arial" w:cs="Arial" w:eastAsia="Arial" w:hAnsi="Arial"/>
          <w:sz w:val="18"/>
          <w:szCs w:val="18"/>
          <w:color w:val="auto"/>
        </w:rPr>
        <w:t>On November 28, 2023, the Company filed a Certificate of Amendment to the Company's Amended and Restated Certificate of Incorporation with the Secretary of State of the State of Delaware to effect a 1-for-15 reverse stock split of its common stock. The Reverse Stock Split became effective at 5:00 p.m., Eastern Time, on November 28, 2023.</w:t>
      </w:r>
    </w:p>
    <w:p>
      <w:pPr>
        <w:spacing w:after="0" w:line="63" w:lineRule="exact"/>
        <w:rPr>
          <w:sz w:val="20"/>
          <w:szCs w:val="20"/>
          <w:color w:val="auto"/>
        </w:rPr>
      </w:pPr>
    </w:p>
    <w:p>
      <w:pPr>
        <w:ind w:right="200" w:firstLine="445"/>
        <w:spacing w:after="0" w:line="268" w:lineRule="auto"/>
        <w:rPr>
          <w:sz w:val="20"/>
          <w:szCs w:val="20"/>
          <w:color w:val="auto"/>
        </w:rPr>
      </w:pPr>
      <w:r>
        <w:rPr>
          <w:rFonts w:ascii="Arial" w:cs="Arial" w:eastAsia="Arial" w:hAnsi="Arial"/>
          <w:sz w:val="18"/>
          <w:szCs w:val="18"/>
          <w:color w:val="auto"/>
        </w:rPr>
        <w:t>As a result of the Reverse Stock Split, every 15 shares of the Company's issued and outstanding common stock were automatically reclassified into one validly issued, fully-paid and non-assessable share of common stock. Any fractional post-split shares as a result of the Reverse Stock Split were rounded down to the nearest whole post-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7" w:name="page18"/>
    <w:bookmarkEnd w:id="17"/>
    <w:p>
      <w:pPr>
        <w:ind w:right="200"/>
        <w:spacing w:after="0" w:line="268" w:lineRule="auto"/>
        <w:rPr>
          <w:sz w:val="20"/>
          <w:szCs w:val="20"/>
          <w:color w:val="auto"/>
        </w:rPr>
      </w:pPr>
      <w:r>
        <w:rPr>
          <w:rFonts w:ascii="Arial" w:cs="Arial" w:eastAsia="Arial" w:hAnsi="Arial"/>
          <w:sz w:val="18"/>
          <w:szCs w:val="18"/>
          <w:color w:val="auto"/>
        </w:rPr>
        <w:t>split share. The Reverse Stock Split did not affect the number of authorized shares of common stock or the par value of the common stock. All share amounts and per share amounts for the period prior to the Effective Time disclosed in this Quarterly Report on Form 10-Q have been restated to reflect the Reverse Stock Split on a retroactive basis.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5" w:lineRule="exact"/>
        <w:rPr>
          <w:sz w:val="20"/>
          <w:szCs w:val="20"/>
          <w:color w:val="auto"/>
        </w:rPr>
      </w:pPr>
    </w:p>
    <w:p>
      <w:pPr>
        <w:ind w:right="300" w:firstLine="445"/>
        <w:spacing w:after="0" w:line="287" w:lineRule="auto"/>
        <w:rPr>
          <w:sz w:val="20"/>
          <w:szCs w:val="20"/>
          <w:color w:val="auto"/>
        </w:rPr>
      </w:pPr>
      <w:r>
        <w:rPr>
          <w:rFonts w:ascii="Arial" w:cs="Arial" w:eastAsia="Arial" w:hAnsi="Arial"/>
          <w:sz w:val="18"/>
          <w:szCs w:val="18"/>
          <w:color w:val="auto"/>
        </w:rPr>
        <w:t>As of June 30, 2024 and December 31, 2023, the authorized capital stock of the Company included 150,000,000 shares of common stock, $0.0001 par value.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2024 and December 31, 2023, the Company did not hold any treasury shares.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2023 Public Offering</w:t>
      </w:r>
    </w:p>
    <w:p>
      <w:pPr>
        <w:spacing w:after="0" w:line="115"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On June 21, 2023, the Company completed a public offering of: (i) an aggregate of 4,296,646 shares of its common stock at a public offering price of $14.25 per share, including the underwriters’ full exercise of their option to purchase 619,979 additional shares of common stock, and (ii) pre-funded warrants to purchase 470,000 shares of common stock at a public offering price of $14.2485 per share of common stock underlying the warrants. The purchase price per share for each pre-funded warrant represents the per share offering price for the common stock, less the $0.0015 per share exercise price for each underlying share. Total net proceeds generated from the offering were approximately $63.4 million, after deducting underwriting discounts, commissions and other offering expenses payable by the Company.</w:t>
      </w:r>
    </w:p>
    <w:p>
      <w:pPr>
        <w:spacing w:after="0" w:line="74" w:lineRule="exact"/>
        <w:rPr>
          <w:sz w:val="20"/>
          <w:szCs w:val="20"/>
          <w:color w:val="auto"/>
        </w:rPr>
      </w:pPr>
    </w:p>
    <w:p>
      <w:pPr>
        <w:ind w:right="480" w:firstLine="445"/>
        <w:spacing w:after="0" w:line="268" w:lineRule="auto"/>
        <w:rPr>
          <w:sz w:val="20"/>
          <w:szCs w:val="20"/>
          <w:color w:val="auto"/>
        </w:rPr>
      </w:pPr>
      <w:r>
        <w:rPr>
          <w:rFonts w:ascii="Arial" w:cs="Arial" w:eastAsia="Arial" w:hAnsi="Arial"/>
          <w:sz w:val="18"/>
          <w:szCs w:val="18"/>
          <w:color w:val="auto"/>
        </w:rPr>
        <w:t>During the three months ended June 30, 2024, all pre-funded warrants associated with this offering were exercised via a cashless exercise, resulting in 469,981 shares of common stock issued. No cash proceeds associated with the exercise were received by the Company. As of June 30, 2024, there were no pre-funded warrants associated with this offering outstanding.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2024 Public Offering</w:t>
      </w:r>
    </w:p>
    <w:p>
      <w:pPr>
        <w:spacing w:after="0" w:line="115"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On January 16, 2024, the Company completed a public offering of: (i) an aggregate of 3,802,025 shares of its common stock at a public offering price of $35.50 per share, including the underwriters' full exercise of their option to purchase 633,750 additional shares of commons stock, and (ii) pre-funded warrants to purchase 1,056,725 shares of common stock at a public offering price of $35.4999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$161.6 million, after deducting underwriting discounts, commissions and other offering expenses payable by the Company.</w:t>
      </w:r>
    </w:p>
    <w:p>
      <w:pPr>
        <w:spacing w:after="0" w:line="60"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 pre-funded warrant may increase or decrease this percentage up to 19.99% by providing at least</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During the three months ended June 30, 2024, 152,145 pre-funded warrants were exercised via a cashless exercise, resulting in 152,142 shares of common stock issued. No cash proceeds associated with the exercise were received by the Company. As of June 30, 2024, a total of 904,580 pre-funded warrants associated with this offering remained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2024 Public Offering</w:t>
      </w:r>
    </w:p>
    <w:p>
      <w:pPr>
        <w:spacing w:after="0" w:line="115"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On April 2, 2024 the Company completed a public offering of: (i) an aggregate of 3,849,558 shares of its common stock at a public offering price of $56.50 per share, including the underwriters' full exercise of their option to purchase 530,973 additional shares of common stock, and (ii) pre-funded warrants to purchase 221,238 shares of common stock at a public offering price of $56.4999 per share of common stock underlying the warrants. The purchase price per share for each pre-funded warrant represents the per share offering price for the common stock,</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8" w:name="page19"/>
    <w:bookmarkEnd w:id="18"/>
    <w:p>
      <w:pPr>
        <w:ind w:right="520"/>
        <w:spacing w:after="0" w:line="318" w:lineRule="auto"/>
        <w:rPr>
          <w:sz w:val="20"/>
          <w:szCs w:val="20"/>
          <w:color w:val="auto"/>
        </w:rPr>
      </w:pPr>
      <w:r>
        <w:rPr>
          <w:rFonts w:ascii="Arial" w:cs="Arial" w:eastAsia="Arial" w:hAnsi="Arial"/>
          <w:sz w:val="17"/>
          <w:szCs w:val="17"/>
          <w:color w:val="auto"/>
        </w:rPr>
        <w:t>less the $0.0001 per share exercise price of each underlying share. Total net proceeds generated from the offering were approximately $216.0 million, after deducting underwriting discounts, commissions and other offering expenses payable by the Company.</w:t>
      </w:r>
    </w:p>
    <w:p>
      <w:pPr>
        <w:spacing w:after="0" w:line="22"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 pre-funded warrant may increase or decrease this percentage up to 19.99% by providing at least</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As of June 30, 2024, none of the pre-funded warrants had been exercised and all remained outstanding.</w:t>
      </w:r>
    </w:p>
    <w:p>
      <w:pPr>
        <w:spacing w:after="0" w:line="75"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 xml:space="preserve">The Company determined that the pre-funded warrants related to the June 2023, January 2024, and April 2024 public offerings are freestanding financial instruments because they are both legally detachable and separately exercisable from the common stock sold in the offering. As such, the Company evaluated the pre-funded warrants to determine whether they represent instruments that require liability classification pursuant to the guidance in ASC 480. However, the Company concluded that the pre-funded warrants are not a liability within the scope of ASC 480 due to their characteristics. Further, the Company determined that the pre-funded warrants do not meet the definition of a derivative under ASC 815 because they do not meet the criteria regarding no or little initial net investment. Accordingly, the Company assessed the pre-funded warrants relative to the guidance in ASC No. 815-40, </w:t>
      </w:r>
      <w:r>
        <w:rPr>
          <w:rFonts w:ascii="Arial" w:cs="Arial" w:eastAsia="Arial" w:hAnsi="Arial"/>
          <w:sz w:val="18"/>
          <w:szCs w:val="18"/>
          <w:i w:val="1"/>
          <w:iCs w:val="1"/>
          <w:color w:val="auto"/>
        </w:rPr>
        <w:t>Contracts in Entity’s Own Equity</w:t>
      </w:r>
      <w:r>
        <w:rPr>
          <w:rFonts w:ascii="Arial" w:cs="Arial" w:eastAsia="Arial" w:hAnsi="Arial"/>
          <w:sz w:val="18"/>
          <w:szCs w:val="18"/>
          <w:color w:val="auto"/>
        </w:rPr>
        <w:t>, to determine the appropriate treatment. The Company concluded that the pre-funded warrants are both indexed to its own stock and meet all other conditions for equity classification. Accordingly, the Company has classified the pre-funded warrants as permanent equity.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common stock for future issuance: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2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364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0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1,134,459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666,163</w:t>
            </w:r>
          </w:p>
        </w:tc>
      </w:tr>
      <w:tr>
        <w:trPr>
          <w:trHeight w:val="215"/>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Shares reserved for exercise of pre-funded warrants related to the June 2023 Financing</w:t>
            </w: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470,000</w:t>
            </w:r>
          </w:p>
        </w:tc>
      </w:tr>
      <w:tr>
        <w:trPr>
          <w:trHeight w:val="217"/>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pre-funded warrants related to the January 2024 Financing</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904,580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Shares reserved for exercise of pre-funded warrants related to the April 2024 Financing</w:t>
            </w:r>
          </w:p>
        </w:tc>
        <w:tc>
          <w:tcPr>
            <w:tcW w:w="1520" w:type="dxa"/>
            <w:vAlign w:val="bottom"/>
          </w:tcPr>
          <w:p>
            <w:pPr>
              <w:jc w:val="right"/>
              <w:spacing w:after="0"/>
              <w:rPr>
                <w:sz w:val="20"/>
                <w:szCs w:val="20"/>
                <w:color w:val="auto"/>
              </w:rPr>
            </w:pPr>
            <w:r>
              <w:rPr>
                <w:rFonts w:ascii="Arial" w:cs="Arial" w:eastAsia="Arial" w:hAnsi="Arial"/>
                <w:sz w:val="16"/>
                <w:szCs w:val="16"/>
                <w:color w:val="auto"/>
              </w:rPr>
              <w:t>221,238</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and Incentive Plan</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936,662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148,264</w:t>
            </w: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tcPr>
          <w:p>
            <w:pPr>
              <w:ind w:left="20"/>
              <w:spacing w:after="0"/>
              <w:rPr>
                <w:sz w:val="20"/>
                <w:szCs w:val="20"/>
                <w:color w:val="auto"/>
              </w:rPr>
            </w:pPr>
            <w:r>
              <w:rPr>
                <w:rFonts w:ascii="Arial" w:cs="Arial" w:eastAsia="Arial" w:hAnsi="Arial"/>
                <w:sz w:val="16"/>
                <w:szCs w:val="16"/>
                <w:color w:val="auto"/>
              </w:rPr>
              <w:t>Employee Stock Purchase Plan</w:t>
            </w:r>
          </w:p>
        </w:tc>
        <w:tc>
          <w:tcPr>
            <w:tcW w:w="1520" w:type="dxa"/>
            <w:vAlign w:val="bottom"/>
          </w:tcPr>
          <w:p>
            <w:pPr>
              <w:jc w:val="right"/>
              <w:spacing w:after="0"/>
              <w:rPr>
                <w:sz w:val="20"/>
                <w:szCs w:val="20"/>
                <w:color w:val="auto"/>
              </w:rPr>
            </w:pPr>
            <w:r>
              <w:rPr>
                <w:rFonts w:ascii="Arial" w:cs="Arial" w:eastAsia="Arial" w:hAnsi="Arial"/>
                <w:sz w:val="16"/>
                <w:szCs w:val="16"/>
                <w:color w:val="auto"/>
              </w:rPr>
              <w:t>115,883</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53,111</w:t>
            </w:r>
          </w:p>
        </w:tc>
      </w:tr>
      <w:tr>
        <w:trPr>
          <w:trHeight w:val="21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reserved for future awards under the 2024</w:t>
            </w: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Inducement Plan</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112,249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Shares reserved for vesting of restricted stock units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101,462</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47,145</w:t>
            </w:r>
          </w:p>
        </w:tc>
      </w:tr>
      <w:tr>
        <w:trPr>
          <w:trHeight w:val="235"/>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3,526,533</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1,384,683</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5"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As of June 30, 2024 and December 31, 2023, the authorized capital stock of the Company included 10,000,000 shares of undesignated preferred stock, $0.0001 par value.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Inducement Plan</w:t>
      </w:r>
    </w:p>
    <w:p>
      <w:pPr>
        <w:spacing w:after="0" w:line="115"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In January 2024, the Board of Directors ("the Board") adopted the 2024 Inducement Plan (the "Inducement Plan") without stockholder approval pursuant to Rule 5635(c)(4) of the Nasdaq Stock Market LLC listing rules ("Rule 5635(c)(4)"). In accordance with Rule 5635(c)(4), the Inducement Plan allows the Company to grant awards only to a newly hired employee who was not previously an employee or non-employee director or to an employee who is being rehired following a bona fide period of non-employment if such award is a material inducement to such employee entering into employment. The total shares of common stock initially authorized for issuance under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9" w:name="page20"/>
    <w:bookmarkEnd w:id="19"/>
    <w:p>
      <w:pPr>
        <w:ind w:right="60"/>
        <w:spacing w:after="0" w:line="262" w:lineRule="auto"/>
        <w:rPr>
          <w:sz w:val="20"/>
          <w:szCs w:val="20"/>
          <w:color w:val="auto"/>
        </w:rPr>
      </w:pPr>
      <w:r>
        <w:rPr>
          <w:rFonts w:ascii="Arial" w:cs="Arial" w:eastAsia="Arial" w:hAnsi="Arial"/>
          <w:sz w:val="18"/>
          <w:szCs w:val="18"/>
          <w:color w:val="auto"/>
        </w:rPr>
        <w:t>Inducement Plan was 1,000,000. In June 2024, the common stock authorized for issuance under the Inducement Plan was reduced by 870,000 shares following stockholder approval of an increase in the shares available for grant under the 2020 Stock Option and Incentive Plan (the "2020 Plan"). The total number of shares of common stock authorized for issuance under the Inducement Plan as of June 30, 2024 was 130,000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Option and Incentive Plan</w:t>
      </w:r>
    </w:p>
    <w:p>
      <w:pPr>
        <w:spacing w:after="0" w:line="115" w:lineRule="exact"/>
        <w:rPr>
          <w:sz w:val="20"/>
          <w:szCs w:val="20"/>
          <w:color w:val="auto"/>
        </w:rPr>
      </w:pPr>
    </w:p>
    <w:p>
      <w:pPr>
        <w:ind w:right="40" w:firstLine="445"/>
        <w:spacing w:after="0" w:line="287" w:lineRule="auto"/>
        <w:rPr>
          <w:sz w:val="20"/>
          <w:szCs w:val="20"/>
          <w:color w:val="auto"/>
        </w:rPr>
      </w:pPr>
      <w:r>
        <w:rPr>
          <w:rFonts w:ascii="Arial" w:cs="Arial" w:eastAsia="Arial" w:hAnsi="Arial"/>
          <w:sz w:val="18"/>
          <w:szCs w:val="18"/>
          <w:color w:val="auto"/>
        </w:rPr>
        <w:t>The total number of shares of common stock authorized for issuance under the 2020 Plan as of June 30, 2024 and December 31, 2023 was 1,970,833 shares and 661,240 shares,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15" w:lineRule="exact"/>
        <w:rPr>
          <w:sz w:val="20"/>
          <w:szCs w:val="20"/>
          <w:color w:val="auto"/>
        </w:rPr>
      </w:pPr>
    </w:p>
    <w:p>
      <w:pPr>
        <w:ind w:right="420" w:firstLine="445"/>
        <w:spacing w:after="0" w:line="268" w:lineRule="auto"/>
        <w:rPr>
          <w:sz w:val="20"/>
          <w:szCs w:val="20"/>
          <w:color w:val="auto"/>
        </w:rPr>
      </w:pPr>
      <w:r>
        <w:rPr>
          <w:rFonts w:ascii="Arial" w:cs="Arial" w:eastAsia="Arial" w:hAnsi="Arial"/>
          <w:sz w:val="18"/>
          <w:szCs w:val="18"/>
          <w:color w:val="auto"/>
        </w:rPr>
        <w:t>The total number of shares of common stock authorized for issuance under the 2017 Stock Incentive Plan (the "2017 Plan") as of June 30, 2024 and December 31, 2023 was 395,850 shares. Any authorization to issue new options under the 2017 Plan was cancelled upon the effectiveness of the 2020 Plan and no further awards will be granted under the 2017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5" w:lineRule="exact"/>
        <w:rPr>
          <w:sz w:val="20"/>
          <w:szCs w:val="20"/>
          <w:color w:val="auto"/>
        </w:rPr>
      </w:pPr>
    </w:p>
    <w:p>
      <w:pPr>
        <w:ind w:right="620" w:firstLine="445"/>
        <w:spacing w:after="0" w:line="287" w:lineRule="auto"/>
        <w:rPr>
          <w:sz w:val="20"/>
          <w:szCs w:val="20"/>
          <w:color w:val="auto"/>
        </w:rPr>
      </w:pPr>
      <w:r>
        <w:rPr>
          <w:rFonts w:ascii="Arial" w:cs="Arial" w:eastAsia="Arial" w:hAnsi="Arial"/>
          <w:sz w:val="18"/>
          <w:szCs w:val="18"/>
          <w:color w:val="auto"/>
        </w:rPr>
        <w:t>The total number of shares of common stock authorized for issuance under the 2020 Employee Stock Purchase Plan (the "2020 ESPP”) as of June 30, 2024 and December 31, 2023 was 175,145 shares and 87,227 shares,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16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4"/>
                <w:szCs w:val="14"/>
                <w:color w:val="auto"/>
              </w:rPr>
            </w:pPr>
          </w:p>
        </w:tc>
        <w:tc>
          <w:tcPr>
            <w:tcW w:w="13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09"/>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2023</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47,145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202.27</w:t>
            </w:r>
          </w:p>
        </w:tc>
        <w:tc>
          <w:tcPr>
            <w:tcW w:w="0" w:type="dxa"/>
            <w:vAlign w:val="bottom"/>
          </w:tcPr>
          <w:p>
            <w:pPr>
              <w:spacing w:after="0"/>
              <w:rPr>
                <w:sz w:val="1"/>
                <w:szCs w:val="1"/>
                <w:color w:val="auto"/>
              </w:rPr>
            </w:pPr>
          </w:p>
        </w:tc>
      </w:tr>
      <w:tr>
        <w:trPr>
          <w:trHeight w:val="215"/>
        </w:trPr>
        <w:tc>
          <w:tcPr>
            <w:tcW w:w="8040" w:type="dxa"/>
            <w:vAlign w:val="bottom"/>
          </w:tcPr>
          <w:p>
            <w:pPr>
              <w:ind w:left="240"/>
              <w:spacing w:after="0"/>
              <w:rPr>
                <w:sz w:val="20"/>
                <w:szCs w:val="20"/>
                <w:color w:val="auto"/>
              </w:rPr>
            </w:pPr>
            <w:r>
              <w:rPr>
                <w:rFonts w:ascii="Arial" w:cs="Arial" w:eastAsia="Arial" w:hAnsi="Arial"/>
                <w:sz w:val="16"/>
                <w:szCs w:val="16"/>
                <w:color w:val="auto"/>
              </w:rPr>
              <w:t>Issued</w:t>
            </w:r>
          </w:p>
        </w:tc>
        <w:tc>
          <w:tcPr>
            <w:tcW w:w="1540" w:type="dxa"/>
            <w:vAlign w:val="bottom"/>
          </w:tcPr>
          <w:p>
            <w:pPr>
              <w:jc w:val="right"/>
              <w:spacing w:after="0"/>
              <w:rPr>
                <w:sz w:val="20"/>
                <w:szCs w:val="20"/>
                <w:color w:val="auto"/>
              </w:rPr>
            </w:pPr>
            <w:r>
              <w:rPr>
                <w:rFonts w:ascii="Arial" w:cs="Arial" w:eastAsia="Arial" w:hAnsi="Arial"/>
                <w:sz w:val="16"/>
                <w:szCs w:val="16"/>
                <w:color w:val="auto"/>
              </w:rPr>
              <w:t>71,634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44.37</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309.19</w:t>
            </w:r>
          </w:p>
        </w:tc>
        <w:tc>
          <w:tcPr>
            <w:tcW w:w="0" w:type="dxa"/>
            <w:vAlign w:val="bottom"/>
          </w:tcPr>
          <w:p>
            <w:pPr>
              <w:spacing w:after="0"/>
              <w:rPr>
                <w:sz w:val="1"/>
                <w:szCs w:val="1"/>
                <w:color w:val="auto"/>
              </w:rPr>
            </w:pPr>
          </w:p>
        </w:tc>
      </w:tr>
      <w:tr>
        <w:trPr>
          <w:trHeight w:val="215"/>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59.05</w:t>
            </w:r>
          </w:p>
        </w:tc>
        <w:tc>
          <w:tcPr>
            <w:tcW w:w="0" w:type="dxa"/>
            <w:vAlign w:val="bottom"/>
          </w:tcPr>
          <w:p>
            <w:pPr>
              <w:spacing w:after="0"/>
              <w:rPr>
                <w:sz w:val="1"/>
                <w:szCs w:val="1"/>
                <w:color w:val="auto"/>
              </w:rPr>
            </w:pP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June 30,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101,462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720" w:firstLine="445"/>
        <w:spacing w:after="0" w:line="287" w:lineRule="auto"/>
        <w:rPr>
          <w:sz w:val="20"/>
          <w:szCs w:val="20"/>
          <w:color w:val="auto"/>
        </w:rPr>
      </w:pPr>
      <w:r>
        <w:rPr>
          <w:rFonts w:ascii="Arial" w:cs="Arial" w:eastAsia="Arial" w:hAnsi="Arial"/>
          <w:sz w:val="18"/>
          <w:szCs w:val="18"/>
          <w:color w:val="auto"/>
        </w:rPr>
        <w:t>As of June 30, 2024, total unrecognized compensation cost related to unvested restricted stock units was $6.8 million, which is expected to be recognized over a weighted-average period of 2.28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c>
          <w:tcPr>
            <w:tcW w:w="8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4"/>
                <w:szCs w:val="14"/>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Exercise Price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per Share</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8"/>
                <w:szCs w:val="18"/>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2023</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666,163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160.19</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488,646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43.65</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134.35</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June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1,134,459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110.77</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as of June 30, 2024</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7.84</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line="20" w:lineRule="exact"/>
              <w:rPr>
                <w:sz w:val="1"/>
                <w:szCs w:val="1"/>
                <w:color w:val="auto"/>
              </w:rPr>
            </w:pPr>
          </w:p>
        </w:tc>
      </w:tr>
      <w:tr>
        <w:trPr>
          <w:trHeight w:val="189"/>
        </w:trPr>
        <w:tc>
          <w:tcPr>
            <w:tcW w:w="4820" w:type="dxa"/>
            <w:vAlign w:val="bottom"/>
            <w:vMerge w:val="continue"/>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715,308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130.91</w:t>
            </w: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June 30, 2024</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1,134,459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Stock Options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0" w:name="page21"/>
    <w:bookmarkEnd w:id="20"/>
    <w:p>
      <w:pPr>
        <w:ind w:right="160" w:firstLine="445"/>
        <w:spacing w:after="0" w:line="268" w:lineRule="auto"/>
        <w:rPr>
          <w:sz w:val="20"/>
          <w:szCs w:val="20"/>
          <w:color w:val="auto"/>
        </w:rPr>
      </w:pPr>
      <w:r>
        <w:rPr>
          <w:rFonts w:ascii="Arial" w:cs="Arial" w:eastAsia="Arial" w:hAnsi="Arial"/>
          <w:sz w:val="18"/>
          <w:szCs w:val="18"/>
          <w:color w:val="auto"/>
        </w:rPr>
        <w:t>The weighted-average assumptions that the Company used in the Black-Scholes option pricing model to determine the grant-date fair value of stock options granted to employees and non-employees on the date of grant were as follows for the three and six months ended June 30, 2024:</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1540" w:type="dxa"/>
            <w:vAlign w:val="bottom"/>
          </w:tcPr>
          <w:p>
            <w:pPr>
              <w:jc w:val="center"/>
              <w:ind w:right="1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7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June 30,</w:t>
            </w:r>
          </w:p>
        </w:tc>
        <w:tc>
          <w:tcPr>
            <w:tcW w:w="100" w:type="dxa"/>
            <w:vAlign w:val="bottom"/>
          </w:tcPr>
          <w:p>
            <w:pPr>
              <w:spacing w:after="0"/>
              <w:rPr>
                <w:sz w:val="18"/>
                <w:szCs w:val="18"/>
                <w:color w:val="auto"/>
              </w:rPr>
            </w:pPr>
          </w:p>
        </w:tc>
        <w:tc>
          <w:tcPr>
            <w:tcW w:w="154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June 30,</w:t>
            </w:r>
          </w:p>
        </w:tc>
      </w:tr>
      <w:tr>
        <w:trPr>
          <w:trHeight w:val="209"/>
        </w:trPr>
        <w:tc>
          <w:tcPr>
            <w:tcW w:w="78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2024</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3.94 %</w:t>
            </w: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6.01</w:t>
            </w: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98.35 %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89.93 %</w:t>
            </w: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grant-date fair value per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33.18</w:t>
            </w:r>
          </w:p>
        </w:tc>
      </w:tr>
    </w:tbl>
    <w:p>
      <w:pPr>
        <w:spacing w:after="0" w:line="292" w:lineRule="exact"/>
        <w:rPr>
          <w:sz w:val="20"/>
          <w:szCs w:val="20"/>
          <w:color w:val="auto"/>
        </w:rPr>
      </w:pPr>
    </w:p>
    <w:p>
      <w:pPr>
        <w:ind w:right="240" w:firstLine="445"/>
        <w:spacing w:after="0" w:line="287" w:lineRule="auto"/>
        <w:rPr>
          <w:sz w:val="20"/>
          <w:szCs w:val="20"/>
          <w:color w:val="auto"/>
        </w:rPr>
      </w:pPr>
      <w:r>
        <w:rPr>
          <w:rFonts w:ascii="Arial" w:cs="Arial" w:eastAsia="Arial" w:hAnsi="Arial"/>
          <w:sz w:val="18"/>
          <w:szCs w:val="18"/>
          <w:color w:val="auto"/>
        </w:rPr>
        <w:t>As of June 30, 2024, total unrecognized compensation cost related to unvested stock options was $22.0 million, which is expected to be recognized over a weighted-average period of 1.76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was allocated as follows (in thousands):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260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7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210"/>
        </w:trPr>
        <w:tc>
          <w:tcPr>
            <w:tcW w:w="47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0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4,141</w:t>
            </w:r>
          </w:p>
        </w:tc>
      </w:tr>
      <w:tr>
        <w:trPr>
          <w:trHeight w:val="215"/>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3,818</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9,227</w:t>
            </w:r>
          </w:p>
        </w:tc>
      </w:tr>
      <w:tr>
        <w:trPr>
          <w:trHeight w:val="23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13,368</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17" w:lineRule="exact"/>
        <w:rPr>
          <w:sz w:val="20"/>
          <w:szCs w:val="20"/>
          <w:color w:val="auto"/>
        </w:rPr>
      </w:pPr>
    </w:p>
    <w:p>
      <w:pPr>
        <w:ind w:right="300" w:firstLine="445"/>
        <w:spacing w:after="0" w:line="268" w:lineRule="auto"/>
        <w:rPr>
          <w:sz w:val="20"/>
          <w:szCs w:val="20"/>
          <w:color w:val="auto"/>
        </w:rPr>
      </w:pPr>
      <w:r>
        <w:rPr>
          <w:rFonts w:ascii="Arial" w:cs="Arial" w:eastAsia="Arial" w:hAnsi="Arial"/>
          <w:sz w:val="18"/>
          <w:szCs w:val="18"/>
          <w:color w:val="auto"/>
        </w:rPr>
        <w:t>The following potential common shares, presented based on amounts outstanding at each period end, were excluded from the calculation of diluted net loss per share attributable to common stockholders for the periods indicated because including them would have been anti-dilutive:</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32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314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820" w:type="dxa"/>
            <w:vAlign w:val="bottom"/>
          </w:tcPr>
          <w:p>
            <w:pPr>
              <w:spacing w:after="0"/>
              <w:rPr>
                <w:sz w:val="18"/>
                <w:szCs w:val="18"/>
                <w:color w:val="auto"/>
              </w:rPr>
            </w:pPr>
          </w:p>
        </w:tc>
        <w:tc>
          <w:tcPr>
            <w:tcW w:w="2060" w:type="dxa"/>
            <w:vAlign w:val="bottom"/>
            <w:tcBorders>
              <w:bottom w:val="single" w:sz="8" w:color="auto"/>
            </w:tcBorders>
            <w:gridSpan w:val="3"/>
          </w:tcPr>
          <w:p>
            <w:pPr>
              <w:jc w:val="center"/>
              <w:ind w:left="999"/>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Borders>
              <w:bottom w:val="single" w:sz="8" w:color="auto"/>
            </w:tcBorders>
            <w:gridSpan w:val="3"/>
          </w:tcPr>
          <w:p>
            <w:pPr>
              <w:jc w:val="center"/>
              <w:ind w:left="999"/>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r>
      <w:tr>
        <w:trPr>
          <w:trHeight w:val="209"/>
        </w:trPr>
        <w:tc>
          <w:tcPr>
            <w:tcW w:w="48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1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1,134,459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674,279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1,134,459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674,279</w:t>
            </w: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Unvested 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101,462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43,824</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101,462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43,824</w:t>
            </w: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issuable under the 2020 ESPP</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10,758</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10,758</w:t>
            </w:r>
          </w:p>
        </w:tc>
      </w:tr>
      <w:tr>
        <w:trPr>
          <w:trHeight w:val="210"/>
        </w:trPr>
        <w:tc>
          <w:tcPr>
            <w:tcW w:w="48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1,243,316</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728,861</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1,243,316</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728,861</w:t>
            </w:r>
          </w:p>
        </w:tc>
      </w:tr>
      <w:tr>
        <w:trPr>
          <w:trHeight w:val="21"/>
        </w:trPr>
        <w:tc>
          <w:tcPr>
            <w:tcW w:w="4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Common shares issuable upon exercise of the pre-funded warrants that were sold in connection with the June 2023, January 2024, and April 2024 underwritten public offering are included in the calculation of basic weighted average number of common shares outstanding for the three and six months ended June 30, 2024. Consistent with the guidance in ASC 260-10-45-13, the underlying common shares are issuable for little to no consideration and there are no vesting conditions or contingencies associated with the warrants. Accordingly, the aggregate number of common shares underlying the pre-funded warrants have been considered outstanding for purposes of the calculation of basic net loss per share from the date of issuance.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17"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On September 11, 2019, the Company entered into a Cooperation and License Agreement (the “License Agreement”) with RogCon Inc. (“RogCon”). 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Pursuant to the terms of the License Agreement, the Company will conduct, at its own cost and expense, the research and development activities assigned to it under the associated research plan. In addition, the Company is responsible for reimbursing RogCon for any costs associated with research and development activities</w:t>
      </w:r>
    </w:p>
    <w:p>
      <w:pPr>
        <w:sectPr>
          <w:pgSz w:w="11900" w:h="16838" w:orient="portrait"/>
          <w:cols w:equalWidth="0" w:num="1">
            <w:col w:w="11240"/>
          </w:cols>
          <w:pgMar w:left="320" w:top="998"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RogCon performs at the request of the Company. One of the founders of RogCon became the Company's General Counsel in June 2020.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reimburse RogCon for its out-of-pocket costs incurred for activities performed under the License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Expenses incurred during all periods presented were not material.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17" w:lineRule="exact"/>
        <w:rPr>
          <w:sz w:val="20"/>
          <w:szCs w:val="20"/>
          <w:color w:val="auto"/>
        </w:rPr>
      </w:pPr>
    </w:p>
    <w:p>
      <w:pPr>
        <w:ind w:firstLine="445"/>
        <w:spacing w:after="0" w:line="268"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condensed consolidated financial statements to provide additional evidence for certain estimates or to identify matters that require additional disclosure. The Company has concluded that no subsequent events have occurred that require disclosure.</w:t>
      </w: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98"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the audited financial information and the notes thereto included in our Annual Report on Form 10-K, which was filed with the Securities and Exchange Commission (the "SEC") on March 5, 2024.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10-K for the year ended December 31, 2023, our actual results could differ materially from the results described in or implied by the forward-looking statements contained in the following discussion and analysis.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We are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169" w:lineRule="exact"/>
        <w:rPr>
          <w:sz w:val="20"/>
          <w:szCs w:val="20"/>
          <w:color w:val="auto"/>
        </w:rPr>
      </w:pPr>
    </w:p>
    <w:p>
      <w:pPr>
        <w:ind w:left="660" w:right="140" w:hanging="328"/>
        <w:spacing w:after="0" w:line="237"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our small molecule platform, utilizes deep understanding of neuronal excitability and neuronal networks and applies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of computational and experimental tools to develop orally available precision therapies</w:t>
      </w:r>
    </w:p>
    <w:p>
      <w:pPr>
        <w:spacing w:after="0" w:line="139" w:lineRule="exact"/>
        <w:rPr>
          <w:rFonts w:ascii="Arial" w:cs="Arial" w:eastAsia="Arial" w:hAnsi="Arial"/>
          <w:sz w:val="22"/>
          <w:szCs w:val="22"/>
          <w:color w:val="auto"/>
        </w:rPr>
      </w:pPr>
    </w:p>
    <w:p>
      <w:pPr>
        <w:ind w:left="660" w:right="20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our antisense oligonucleotide, or ASO, platform, is an efficient, targeted precision medicine discovery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 anchored on a proprietary, computational methodology</w:t>
      </w:r>
    </w:p>
    <w:p>
      <w:pPr>
        <w:spacing w:after="0" w:line="153"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movement disorders and epilepsy. For our most advanced product candidate under the Cerebrum™ platform, ulixacaltamide (formerly known as PRAX-944), our Phase 3 Essential3 clinical trials in essential tremor, or ET, are ongoing. We are planning to conduct an interim analysis in the fourth quarter of 2024, with topline results anticipated shortly thereafter. Within our PRAX-628 program, we announced positive results from our Photo-Paroxysmal Response ("PPR") study in the first quarter of 2024, and plan to initiate four studies to generate patient eligibility, efficacy, safety and pharmacokinetics (PK) data for the program. We plan to initiate an observational study of PRAX-628 in patients with epilepsy in the third quarter of 2024, as well as three efficacy studies. The first efficacy study will be an open label eight-week study in patients with focal onset seizures or generalized epilepsy to be initiated in the second half of 2024, with topline results expected in the first half of 2025. We also plan to initiate a double-blind, placebo-controlled, 12-week study in focal onset seizures in the fourth quarter of 2024, with topline results expected in the second half of 2025, and plan to initiate a third efficacy study in the first half of 2025. Our relutrigine (formerly known as PRAX-562) Phase 2 EMBOLD study was initiated in the first quarter of 2023, with two cohorts in SCN2A-DEE and SCN8A-DEE; topline results are expected for both cohorts in the third quarter of 2024. For our most advanced product candidate under the Solidus™ platform, elsunersen (formerly known as PRAX-222), we shared results from Part 1 of the EMBRAVE study in the fourth quarter of 2023, and have initiated the first arm of our global confirmatory study in Brazil. We are currently completing multiple global regulatory interactions to further expand the pivotal phase of the program later in 2024.</w:t>
      </w:r>
    </w:p>
    <w:p>
      <w:pPr>
        <w:spacing w:after="0" w:line="193" w:lineRule="exact"/>
        <w:rPr>
          <w:sz w:val="20"/>
          <w:szCs w:val="20"/>
          <w:color w:val="auto"/>
        </w:rPr>
      </w:pPr>
    </w:p>
    <w:p>
      <w:pPr>
        <w:ind w:right="80" w:firstLine="445"/>
        <w:spacing w:after="0" w:line="282" w:lineRule="auto"/>
        <w:rPr>
          <w:sz w:val="20"/>
          <w:szCs w:val="20"/>
          <w:color w:val="auto"/>
        </w:rPr>
      </w:pPr>
      <w:r>
        <w:rPr>
          <w:rFonts w:ascii="Arial" w:cs="Arial" w:eastAsia="Arial" w:hAnsi="Arial"/>
          <w:sz w:val="17"/>
          <w:szCs w:val="17"/>
          <w:color w:val="auto"/>
        </w:rPr>
        <w:t>We were incorporated in 2015 and commenced operations in 2016. Since inception, we have devoted substantially all of our resources to developing our preclinical and clinical product candidates, building our intellectual property, or IP, portfolio, business planning, raising capital and providing general and administrative support for these operations. We employ a “virtual” research and development model, relying heavily upon external consultants, collaborators, contract development and manufacturing organizations and contract research</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3" w:name="page24"/>
    <w:bookmarkEnd w:id="23"/>
    <w:p>
      <w:pPr>
        <w:ind w:right="440"/>
        <w:spacing w:after="0" w:line="287" w:lineRule="auto"/>
        <w:rPr>
          <w:sz w:val="20"/>
          <w:szCs w:val="20"/>
          <w:color w:val="auto"/>
        </w:rPr>
      </w:pPr>
      <w:r>
        <w:rPr>
          <w:rFonts w:ascii="Arial" w:cs="Arial" w:eastAsia="Arial" w:hAnsi="Arial"/>
          <w:sz w:val="18"/>
          <w:szCs w:val="18"/>
          <w:color w:val="auto"/>
        </w:rPr>
        <w:t>organizations, or CROs, to conduct our preclinical and clinical activities. Since inception, we have financed our operations primarily with proceeds from the sale and issuance of equity securities.</w:t>
      </w:r>
    </w:p>
    <w:p>
      <w:pPr>
        <w:spacing w:after="0" w:line="153"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We are a development stage company and we have not generated any revenue from product sales, and do not expect to do so for several years, if at all. All of our product candidates are still in preclinical and clinical development.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a net loss of $72.2 million for the six months ended June 30, 2024. As of June 30, 2024, we had an accumulated deficit of $726.2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be maintained or increased in connection with our ongoing activities, as we:</w:t>
      </w:r>
    </w:p>
    <w:p>
      <w:pPr>
        <w:spacing w:after="0" w:line="12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our lead product candidate, ulixacaltamide, through the Phase 3 Essential3 clinical trial program for 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our PRAX-562 product candidate in the EMBOLD clinical 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elsunersen (formerly PRAX-222) into the pivotal stage of the program;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our PRAX-628 product candidate into efficacy clinical trials for focal onset seizures;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our preclinical candidates to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 invest in our pipeline;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 invest in our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expand, protect and defend our IP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or in-license technology;</w:t>
      </w:r>
    </w:p>
    <w:p>
      <w:pPr>
        <w:spacing w:after="0" w:line="171" w:lineRule="exact"/>
        <w:rPr>
          <w:rFonts w:ascii="Arial" w:cs="Arial" w:eastAsia="Arial" w:hAnsi="Arial"/>
          <w:sz w:val="18"/>
          <w:szCs w:val="18"/>
          <w:color w:val="auto"/>
        </w:rPr>
      </w:pPr>
    </w:p>
    <w:p>
      <w:pPr>
        <w:ind w:left="660" w:righ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when needed, increase our headcount to support our development efforts and any future commercialization efforts.</w:t>
      </w:r>
    </w:p>
    <w:p>
      <w:pPr>
        <w:spacing w:after="0" w:line="22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2"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76"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As of June 30, 2024, we had cash, cash equivalents and marketable securities of $433.8 million. We expect that our cash, cash equivalents and marketable securities as of June 30, 2024 will be sufficient to fund our operating expenditures and capital expenditure requirements necessary to advance our research efforts and clinical trials into 2027. The analysis included consideration of our current financial needs and ongoing research and development plans. We have based this estimate on assumptions that may provide to be wrong, and we could exhaust our available capital resources sooner than we expect. See “—Liquidity and Capital Resources.”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5" w:lineRule="exact"/>
        <w:rPr>
          <w:sz w:val="20"/>
          <w:szCs w:val="20"/>
          <w:color w:val="auto"/>
        </w:rPr>
      </w:pPr>
    </w:p>
    <w:p>
      <w:pPr>
        <w:ind w:right="480" w:firstLine="445"/>
        <w:spacing w:after="0" w:line="268" w:lineRule="auto"/>
        <w:rPr>
          <w:sz w:val="20"/>
          <w:szCs w:val="20"/>
          <w:color w:val="auto"/>
        </w:rPr>
      </w:pPr>
      <w:r>
        <w:rPr>
          <w:rFonts w:ascii="Arial" w:cs="Arial" w:eastAsia="Arial" w:hAnsi="Arial"/>
          <w:sz w:val="18"/>
          <w:szCs w:val="18"/>
          <w:color w:val="auto"/>
        </w:rPr>
        <w:t>On November 28, 2023, we filed a Certificate of Amendment to our Amended and Restated Certificate of Incorporation with the Secretary of State of the State of Delaware to effect a 1-for-15 reverse stock split of our common stock, or the Reverse Stock Split. The Reverse Stock Split became effective at 5:00 p.m., Eastern Time, on November 28, 2023, or the Effective Time.</w:t>
      </w:r>
    </w:p>
    <w:p>
      <w:pPr>
        <w:spacing w:after="0" w:line="171" w:lineRule="exact"/>
        <w:rPr>
          <w:sz w:val="20"/>
          <w:szCs w:val="20"/>
          <w:color w:val="auto"/>
        </w:rPr>
      </w:pPr>
    </w:p>
    <w:p>
      <w:pPr>
        <w:ind w:right="300" w:firstLine="445"/>
        <w:spacing w:after="0" w:line="262" w:lineRule="auto"/>
        <w:rPr>
          <w:sz w:val="20"/>
          <w:szCs w:val="20"/>
          <w:color w:val="auto"/>
        </w:rPr>
      </w:pPr>
      <w:r>
        <w:rPr>
          <w:rFonts w:ascii="Arial" w:cs="Arial" w:eastAsia="Arial" w:hAnsi="Arial"/>
          <w:sz w:val="18"/>
          <w:szCs w:val="18"/>
          <w:color w:val="auto"/>
        </w:rPr>
        <w:t>As a result of the Reverse Stock Split, every 15 shares of our issued and outstanding common stock were automatically reclassified into one validly issued, fully-paid and non-assessable share of common stock, subject to the treatment of fractional shares as described below, without any action on the part of the holders thereof. The Reverse Stock Split did not affect the number of authorized shares of common stock or the par value of the common stock.</w:t>
      </w:r>
    </w:p>
    <w:p>
      <w:pPr>
        <w:spacing w:after="0" w:line="176"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No fractional shares were issued in connection with the Reverse Stock Split. Stockholders who would otherwise be entitled to receive fractional shares as a result of the Reverse Stock Split were entitled to a cash payment in lieu thereof at a price equal to the fraction to which the stockholder would otherwise be entitled, multiplied by the closing price per share of the common stock (as adjusted for the Reverse Stock Split) on the Nasdaq Global Select Market on November 28, 2023, the last trading day immediately preceding the Effective Time.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have not generated any revenue from the sale of products since inception and do not expect to generate any revenue from the sale of products for several years, if at all. As discussed in Note 7 to our condensed consolidated financial statements, we entered into an Option and License Agreement, or the Collaboration Agreement, with UCB Biopharma SRL, or UCB, in December 2022. We recognized $0.4 million and $ 0.8 million, respectively, of collaboration revenue from the Collaboration Agreement during the three and six months ended June 30, 2024, compared to $0.8 million and $1.5 million, respectively, during the three and six months ended June 30,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represent costs incurred by us for the following:</w:t>
      </w:r>
    </w:p>
    <w:p>
      <w:pPr>
        <w:spacing w:after="0" w:line="15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discovery efforts leading to development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development costs for our product candidates; and</w:t>
      </w:r>
    </w:p>
    <w:p>
      <w:pPr>
        <w:spacing w:after="0" w:line="171" w:lineRule="exact"/>
        <w:rPr>
          <w:rFonts w:ascii="Arial" w:cs="Arial" w:eastAsia="Arial" w:hAnsi="Arial"/>
          <w:sz w:val="18"/>
          <w:szCs w:val="18"/>
          <w:color w:val="auto"/>
        </w:rPr>
      </w:pPr>
    </w:p>
    <w:p>
      <w:pPr>
        <w:ind w:left="460" w:right="5340" w:hanging="128"/>
        <w:spacing w:after="0" w:line="438" w:lineRule="auto"/>
        <w:tabs>
          <w:tab w:leader="none" w:pos="6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to develop our manufacturing technology and infrastructure. The costs above comprise the following categories: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stock-based compensation expense;</w:t>
      </w:r>
    </w:p>
    <w:p>
      <w:pPr>
        <w:spacing w:after="0" w:line="171" w:lineRule="exact"/>
        <w:rPr>
          <w:rFonts w:ascii="Arial" w:cs="Arial" w:eastAsia="Arial" w:hAnsi="Arial"/>
          <w:sz w:val="18"/>
          <w:szCs w:val="18"/>
          <w:color w:val="auto"/>
        </w:rPr>
      </w:pPr>
    </w:p>
    <w:p>
      <w:pPr>
        <w:ind w:left="660" w:right="7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and CROs, that conduct our preclinical and clinical studies and in-licensing arrangements;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incurred to maintain compliance with regulatory requirements;</w:t>
      </w:r>
    </w:p>
    <w:p>
      <w:pPr>
        <w:spacing w:after="0" w:line="171"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incurred with third-party contract development and manufacturing organizations to acquire, develop and manufacture materials for preclinical and clinical studies; and</w:t>
      </w:r>
    </w:p>
    <w:p>
      <w:pPr>
        <w:spacing w:after="0" w:line="98"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depreciation, amortization and other direct and allocated expenses, including rent and other operating costs, such as information technology, incurred as a result of our research and development activities.</w:t>
      </w:r>
    </w:p>
    <w:p>
      <w:pPr>
        <w:spacing w:after="0" w:line="153"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condensed consolidated balance sheets as prepaid expenses or accrued expenses. Non-refundable advance payments for goods or services to be received</w:t>
      </w:r>
    </w:p>
    <w:p>
      <w:pPr>
        <w:sectPr>
          <w:pgSz w:w="11900" w:h="16838" w:orient="portrait"/>
          <w:cols w:equalWidth="0" w:num="1">
            <w:col w:w="11220"/>
          </w:cols>
          <w:pgMar w:left="320" w:top="1108"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8" w:right="359" w:bottom="1440" w:gutter="0" w:footer="0" w:header="0"/>
          <w:type w:val="continuous"/>
        </w:sectPr>
      </w:pPr>
    </w:p>
    <w:bookmarkStart w:id="25" w:name="page26"/>
    <w:bookmarkEnd w:id="25"/>
    <w:p>
      <w:pPr>
        <w:ind w:right="140"/>
        <w:spacing w:after="0" w:line="287" w:lineRule="auto"/>
        <w:rPr>
          <w:sz w:val="20"/>
          <w:szCs w:val="20"/>
          <w:color w:val="auto"/>
        </w:rPr>
      </w:pPr>
      <w:r>
        <w:rPr>
          <w:rFonts w:ascii="Arial" w:cs="Arial" w:eastAsia="Arial" w:hAnsi="Arial"/>
          <w:sz w:val="18"/>
          <w:szCs w:val="18"/>
          <w:color w:val="auto"/>
        </w:rPr>
        <w:t>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53"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As a company operating in a virtual environment, a significant portion of our research and development costs have been external costs incurred by third-parties. We track direct external research and development expenses to specific platforms and product candidates upon commencement. Due to the number of ongoing studies and our ability to use resources across platforms, indirect or shared operating costs incurred for our research and development platforms, such as personnel, facility costs and certain consulting costs, are not recorded or maintained on a platform-specific basis.</w:t>
      </w:r>
    </w:p>
    <w:p>
      <w:pPr>
        <w:spacing w:after="0" w:line="179" w:lineRule="exact"/>
        <w:rPr>
          <w:sz w:val="20"/>
          <w:szCs w:val="20"/>
          <w:color w:val="auto"/>
        </w:rPr>
      </w:pPr>
    </w:p>
    <w:p>
      <w:pPr>
        <w:ind w:right="60" w:firstLine="445"/>
        <w:spacing w:after="0" w:line="287" w:lineRule="auto"/>
        <w:rPr>
          <w:sz w:val="20"/>
          <w:szCs w:val="20"/>
          <w:color w:val="auto"/>
        </w:rPr>
      </w:pPr>
      <w:r>
        <w:rPr>
          <w:rFonts w:ascii="Arial" w:cs="Arial" w:eastAsia="Arial" w:hAnsi="Arial"/>
          <w:sz w:val="18"/>
          <w:szCs w:val="18"/>
          <w:color w:val="auto"/>
        </w:rPr>
        <w:t>The following table reflects our research and development expenses, including direct expenses summarized by platform and indirect or shared operating costs recognized as research and development expenses during each period presented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25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8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209"/>
        </w:trPr>
        <w:tc>
          <w:tcPr>
            <w:tcW w:w="48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14,967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18,025</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Solidus™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1,680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9,922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13,524</w:t>
            </w: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14,904</w:t>
            </w: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4,665</w:t>
            </w:r>
          </w:p>
        </w:tc>
      </w:tr>
      <w:tr>
        <w:trPr>
          <w:trHeight w:val="23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27,260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25,614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54,244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51,118</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be maintained or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179"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2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add and retain key research and development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71"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complete clinical trials with safety, tolerability and efficacy profiles that are satisfactory to the FDA or any comparable foreign regulatory authority;</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develop, obtain regulatory approval for, and then successfully commercialize,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successful enrollment in and completion of clinical trials;</w:t>
      </w:r>
    </w:p>
    <w:p>
      <w:pPr>
        <w:spacing w:after="0" w:line="171" w:lineRule="exact"/>
        <w:rPr>
          <w:rFonts w:ascii="Arial" w:cs="Arial" w:eastAsia="Arial" w:hAnsi="Arial"/>
          <w:sz w:val="18"/>
          <w:szCs w:val="18"/>
          <w:color w:val="auto"/>
        </w:rPr>
      </w:pPr>
    </w:p>
    <w:p>
      <w:pPr>
        <w:ind w:left="660" w:right="112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product candidates we identify in-house or acquire through collaborations;</w:t>
      </w:r>
    </w:p>
    <w:p>
      <w:pPr>
        <w:spacing w:after="0" w:line="98"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discover, develop and utilize biomarkers to demonstrate target engagement, pathway engagement and the impact on disease progression of our product candidates;</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if our product candidates are approved;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6" w:name="page27"/>
    <w:bookmarkEnd w:id="26"/>
    <w:p>
      <w:pPr>
        <w:ind w:left="660" w:right="20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98"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and maintain patent, trade secret and other IP protection and regulatory exclusivity for our product candidates, if approved;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receipt of marketing approvals from applicable regulatory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commercialize products, if approved, whether alone or in collaboration with others;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continued acceptable safety profiles of our product candidates.</w:t>
      </w:r>
    </w:p>
    <w:p>
      <w:pPr>
        <w:spacing w:after="0" w:line="225"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require significant development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5"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commercial-related costs to support market assessments and scenario planning; insurance costs; administrative travel expenses; and facility-related expenses, which include direct depreciation costs and allocated expenses for office rent and other operating costs, such as information technology. Costs to secure and defend our IP are expensed as incurred and are classified as general and administrative expenses. These costs relate to the operation of the business and are unrelated to the research and development function or any individual platform or product candidate.</w:t>
      </w:r>
    </w:p>
    <w:p>
      <w:pPr>
        <w:spacing w:after="0" w:line="185"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We anticipate that our general and administrative expenses may increase in the future as we increase our headcount, when needed, to support the expected growth in our research and development activities and the potential commercialization of our product candidates. We also expect to incur additional IP-related expenses as we file patent applications to protect innovations arising from our research and development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5" w:lineRule="exact"/>
        <w:rPr>
          <w:sz w:val="20"/>
          <w:szCs w:val="20"/>
          <w:color w:val="auto"/>
        </w:rPr>
      </w:pPr>
    </w:p>
    <w:p>
      <w:pPr>
        <w:ind w:right="860" w:firstLine="445"/>
        <w:spacing w:after="0" w:line="287" w:lineRule="auto"/>
        <w:rPr>
          <w:sz w:val="20"/>
          <w:szCs w:val="20"/>
          <w:color w:val="auto"/>
        </w:rPr>
      </w:pPr>
      <w:r>
        <w:rPr>
          <w:rFonts w:ascii="Arial" w:cs="Arial" w:eastAsia="Arial" w:hAnsi="Arial"/>
          <w:sz w:val="18"/>
          <w:szCs w:val="18"/>
          <w:color w:val="auto"/>
        </w:rPr>
        <w:t>Other income, net consists of interest income from our cash, cash equivalents and marketable securities and amortization of investment premiums and discounts.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each year or for our earned research and development tax credits due to our uncertainty of realizing a benefit from those items. Income taxes are determined at the applicable tax rates adjusted for non-deductible expenses, research and development tax credits and other permanent differences. Our income tax provision may be significantly affected by changes to our estimates. There was no income tax provision recognized for the three and six months ended June 30, 2024 and 2023.</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2024 and 2023</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operations for each period presented (in thousands):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2" w:right="3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37,845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35,741</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2,104</w:t>
            </w:r>
          </w:p>
        </w:tc>
        <w:tc>
          <w:tcPr>
            <w:tcW w:w="0" w:type="dxa"/>
            <w:vAlign w:val="bottom"/>
          </w:tcPr>
          <w:p>
            <w:pPr>
              <w:spacing w:after="0"/>
              <w:rPr>
                <w:sz w:val="1"/>
                <w:szCs w:val="1"/>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(37,488)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(34,960)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(2,528)</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4,163</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4,163</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(32,677)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(34,312)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5" w:lineRule="exact"/>
        <w:rPr>
          <w:sz w:val="20"/>
          <w:szCs w:val="20"/>
          <w:color w:val="auto"/>
        </w:rPr>
      </w:pPr>
    </w:p>
    <w:p>
      <w:pPr>
        <w:ind w:right="180" w:firstLine="445"/>
        <w:spacing w:after="0" w:line="268" w:lineRule="auto"/>
        <w:rPr>
          <w:sz w:val="20"/>
          <w:szCs w:val="20"/>
          <w:color w:val="auto"/>
        </w:rPr>
      </w:pPr>
      <w:r>
        <w:rPr>
          <w:rFonts w:ascii="Arial" w:cs="Arial" w:eastAsia="Arial" w:hAnsi="Arial"/>
          <w:sz w:val="18"/>
          <w:szCs w:val="18"/>
          <w:color w:val="auto"/>
        </w:rPr>
        <w:t>The $ 0.4 million decrease in collaboration revenue is associated with a decrease in the revenue recorded under the Collaboration Agreement with UCB that was executed in December 2022. Changes in revenue recognized each period reflect timing of research services provided and costs incurred.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5" w:lineRule="exact"/>
        <w:rPr>
          <w:sz w:val="20"/>
          <w:szCs w:val="20"/>
          <w:color w:val="auto"/>
        </w:rPr>
      </w:pPr>
    </w:p>
    <w:p>
      <w:pPr>
        <w:ind w:right="240" w:firstLine="445"/>
        <w:spacing w:after="0" w:line="287"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8,077</w:t>
            </w: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Solidus™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(8,242)</w:t>
            </w:r>
          </w:p>
        </w:tc>
        <w:tc>
          <w:tcPr>
            <w:tcW w:w="0" w:type="dxa"/>
            <w:vAlign w:val="bottom"/>
          </w:tcPr>
          <w:p>
            <w:pPr>
              <w:spacing w:after="0"/>
              <w:rPr>
                <w:sz w:val="1"/>
                <w:szCs w:val="1"/>
                <w:color w:val="auto"/>
              </w:rPr>
            </w:pPr>
          </w:p>
        </w:tc>
      </w:tr>
      <w:tr>
        <w:trPr>
          <w:trHeight w:val="217"/>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3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27,260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$1.6 million increase in research and development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$8.1 million increase in expense related to our Cerebrum™ platform, driven primarily by:</w:t>
      </w:r>
    </w:p>
    <w:p>
      <w:pPr>
        <w:spacing w:after="0" w:line="171" w:lineRule="exact"/>
        <w:rPr>
          <w:rFonts w:ascii="Arial" w:cs="Arial" w:eastAsia="Arial" w:hAnsi="Arial"/>
          <w:sz w:val="18"/>
          <w:szCs w:val="18"/>
          <w:color w:val="auto"/>
        </w:rPr>
      </w:pPr>
    </w:p>
    <w:p>
      <w:pPr>
        <w:ind w:left="1300" w:right="440" w:hanging="320"/>
        <w:spacing w:after="0" w:line="28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$8.6 million increase in spend for our ulixacaltamide program due to Essential3 study activity and Phase 1 trial spend, partially offset by prior year spend for our Essential1 study;</w:t>
      </w:r>
    </w:p>
    <w:p>
      <w:pPr>
        <w:spacing w:after="0" w:line="98"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$0.4 million increase in spend for our PRAX-562 program related to our EMBOLD Phase 2 clinical trial;</w:t>
      </w:r>
    </w:p>
    <w:p>
      <w:pPr>
        <w:spacing w:after="0" w:line="171" w:lineRule="exact"/>
        <w:rPr>
          <w:rFonts w:ascii="Arial" w:cs="Arial" w:eastAsia="Arial" w:hAnsi="Arial"/>
          <w:sz w:val="18"/>
          <w:szCs w:val="18"/>
          <w:color w:val="auto"/>
        </w:rPr>
      </w:pPr>
    </w:p>
    <w:p>
      <w:pPr>
        <w:ind w:left="1300" w:right="320" w:hanging="320"/>
        <w:spacing w:after="0" w:line="28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$0.6 million decrease in spend for our PRAX-628 program, primarily related to prior year clinical-related spend, partially offset by current quarter startup costs associated with our Phase 2 efficacy studies in focal onset seizures; and</w:t>
      </w:r>
    </w:p>
    <w:p>
      <w:pPr>
        <w:spacing w:after="0" w:line="98"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$0.4 million decrease in activities for our earlier stage assets.</w:t>
      </w:r>
    </w:p>
    <w:p>
      <w:pPr>
        <w:spacing w:after="0" w:line="171" w:lineRule="exact"/>
        <w:rPr>
          <w:rFonts w:ascii="Arial" w:cs="Arial" w:eastAsia="Arial" w:hAnsi="Arial"/>
          <w:sz w:val="18"/>
          <w:szCs w:val="18"/>
          <w:color w:val="auto"/>
        </w:rPr>
      </w:pPr>
    </w:p>
    <w:p>
      <w:pPr>
        <w:jc w:val="both"/>
        <w:ind w:left="660" w:right="48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$8.2 million decrease in expense within our Solidus™ platform for elsunersen, driven by a prior year milestone payment of $6.9 million due to Ionis Pharmaceuticals Inc., or Ionis, upon initiation of our EMBRAVE study, as well as prior year EMBRAVE study activity and toxicology-related spend;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$1.7 million increase in personnel-related costs.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color w:val="auto"/>
        </w:rPr>
        <w:t>The $0.5 million increase in general and administrative expenses is due primarily to increased personnel-related costs.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5" w:lineRule="exact"/>
        <w:rPr>
          <w:sz w:val="20"/>
          <w:szCs w:val="20"/>
          <w:color w:val="auto"/>
        </w:rPr>
      </w:pPr>
    </w:p>
    <w:p>
      <w:pPr>
        <w:ind w:right="300" w:firstLine="445"/>
        <w:spacing w:after="0" w:line="287" w:lineRule="auto"/>
        <w:rPr>
          <w:sz w:val="20"/>
          <w:szCs w:val="20"/>
          <w:color w:val="auto"/>
        </w:rPr>
      </w:pPr>
      <w:r>
        <w:rPr>
          <w:rFonts w:ascii="Arial" w:cs="Arial" w:eastAsia="Arial" w:hAnsi="Arial"/>
          <w:sz w:val="18"/>
          <w:szCs w:val="18"/>
          <w:color w:val="auto"/>
        </w:rPr>
        <w:t>Other income for the three months ended June 30, 2024 and 2023 was comprised of interest income on our cash, cash equivalents, and marketable securities and investment premium and discount amortization.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2024 and 2023</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operations for each period presented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54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54,244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25,918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80,162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74,515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5,647</w:t>
            </w:r>
          </w:p>
        </w:tc>
        <w:tc>
          <w:tcPr>
            <w:tcW w:w="0" w:type="dxa"/>
            <w:vAlign w:val="bottom"/>
          </w:tcPr>
          <w:p>
            <w:pPr>
              <w:spacing w:after="0"/>
              <w:rPr>
                <w:sz w:val="1"/>
                <w:szCs w:val="1"/>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(79,374)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(73,051)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(6,323)</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5,860</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5,860</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(72,230)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(71,767)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5" w:lineRule="exact"/>
        <w:rPr>
          <w:sz w:val="20"/>
          <w:szCs w:val="20"/>
          <w:color w:val="auto"/>
        </w:rPr>
      </w:pPr>
    </w:p>
    <w:p>
      <w:pPr>
        <w:ind w:right="180" w:firstLine="445"/>
        <w:spacing w:after="0" w:line="268" w:lineRule="auto"/>
        <w:rPr>
          <w:sz w:val="20"/>
          <w:szCs w:val="20"/>
          <w:color w:val="auto"/>
        </w:rPr>
      </w:pPr>
      <w:r>
        <w:rPr>
          <w:rFonts w:ascii="Arial" w:cs="Arial" w:eastAsia="Arial" w:hAnsi="Arial"/>
          <w:sz w:val="18"/>
          <w:szCs w:val="18"/>
          <w:color w:val="auto"/>
        </w:rPr>
        <w:t>The $ 0.7 million decrease in collaboration revenue is associated with a decrease in the revenue recorded under the Collaboration Agreement with UCB that was executed in December 2022. Changes in revenue recognized each period reflect timing of research services provided and costs incurred.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5" w:lineRule="exact"/>
        <w:rPr>
          <w:sz w:val="20"/>
          <w:szCs w:val="20"/>
          <w:color w:val="auto"/>
        </w:rPr>
      </w:pPr>
    </w:p>
    <w:p>
      <w:pPr>
        <w:ind w:right="240" w:firstLine="445"/>
        <w:spacing w:after="0" w:line="287"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54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6"/>
                <w:szCs w:val="16"/>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9,727</w:t>
            </w: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Solidus™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(10,654)</w:t>
            </w:r>
          </w:p>
        </w:tc>
        <w:tc>
          <w:tcPr>
            <w:tcW w:w="0" w:type="dxa"/>
            <w:vAlign w:val="bottom"/>
          </w:tcPr>
          <w:p>
            <w:pPr>
              <w:spacing w:after="0"/>
              <w:rPr>
                <w:sz w:val="1"/>
                <w:szCs w:val="1"/>
                <w:color w:val="auto"/>
              </w:rPr>
            </w:pPr>
          </w:p>
        </w:tc>
      </w:tr>
      <w:tr>
        <w:trPr>
          <w:trHeight w:val="217"/>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4,498</w:t>
            </w: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3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54,244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51,118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$3.1 million increase in research and development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$9.7 million increase in expense related to our Cerebrum™ platform, driven primarily by:</w:t>
      </w:r>
    </w:p>
    <w:p>
      <w:pPr>
        <w:spacing w:after="0" w:line="171" w:lineRule="exact"/>
        <w:rPr>
          <w:rFonts w:ascii="Arial" w:cs="Arial" w:eastAsia="Arial" w:hAnsi="Arial"/>
          <w:sz w:val="18"/>
          <w:szCs w:val="18"/>
          <w:color w:val="auto"/>
        </w:rPr>
      </w:pPr>
    </w:p>
    <w:p>
      <w:pPr>
        <w:ind w:left="1300" w:right="280" w:hanging="320"/>
        <w:spacing w:after="0" w:line="287"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$13.7 million increase in spend for our ulixacaltamide program, primarily due to clinical-related activities for our Phase 3 program in ulixacaltamide, partially offset by prior year Essential1 study activity;</w:t>
      </w:r>
    </w:p>
    <w:p>
      <w:pPr>
        <w:spacing w:after="0" w:line="98"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$2.2 million decrease in PRAX-628 clinical-related spend due to prior year Phase 1 study activity;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9" w:name="page30"/>
    <w:bookmarkEnd w:id="29"/>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$1.5 million decrease in activities for our earlier stage assets;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$0.3 million decrease in spend for our PRAX-562 program.</w:t>
      </w:r>
    </w:p>
    <w:p>
      <w:pPr>
        <w:spacing w:after="0" w:line="171" w:lineRule="exact"/>
        <w:rPr>
          <w:rFonts w:ascii="Arial" w:cs="Arial" w:eastAsia="Arial" w:hAnsi="Arial"/>
          <w:sz w:val="18"/>
          <w:szCs w:val="18"/>
          <w:color w:val="auto"/>
        </w:rPr>
      </w:pPr>
    </w:p>
    <w:p>
      <w:pPr>
        <w:ind w:left="660" w:right="380" w:hanging="328"/>
        <w:spacing w:after="0" w:line="26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$10.7 million decrease in expense within our Solidus™ platform for elsunersen, driven by a prior year milestone payment of $6.9 million due to Ionis upon initiation of our EMBRAVE study, as well as prior year EMBRAVE study activity and toxicology-related spend;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$4.5 million increase in personnel-related costs, including stock-based compensation expense;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$0.4 million decrease in indirect expenses, none of which were individually significant.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$2.5 million increase in general and administrative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$3.7 million increase in personnel-related costs mainly due to increased stock-based compensation expense;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$1.1 million decrease in professional expenses mainly due to decreased consulting and legal expense.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5" w:lineRule="exact"/>
        <w:rPr>
          <w:sz w:val="20"/>
          <w:szCs w:val="20"/>
          <w:color w:val="auto"/>
        </w:rPr>
      </w:pPr>
    </w:p>
    <w:p>
      <w:pPr>
        <w:ind w:right="300" w:firstLine="445"/>
        <w:spacing w:after="0" w:line="287" w:lineRule="auto"/>
        <w:rPr>
          <w:sz w:val="20"/>
          <w:szCs w:val="20"/>
          <w:color w:val="auto"/>
        </w:rPr>
      </w:pPr>
      <w:r>
        <w:rPr>
          <w:rFonts w:ascii="Arial" w:cs="Arial" w:eastAsia="Arial" w:hAnsi="Arial"/>
          <w:sz w:val="18"/>
          <w:szCs w:val="18"/>
          <w:color w:val="auto"/>
        </w:rPr>
        <w:t>Other income for the three months ended June 30, 2024 and 2023 was comprised of interest income on our cash, cash equivalents, and marketable securities and investment premium and discount amortization.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5"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Since our inception, we have incurred significant losses in each period. We have not yet commercialized any of our product candidates, which are in various phases of preclinical and clinical development, and we do not expect to generate revenue from sales of any products for several years, if at all.</w:t>
      </w:r>
    </w:p>
    <w:p>
      <w:pPr>
        <w:spacing w:after="0" w:line="171"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To date, we have financed our operations primarily with proceeds from the issuance of redeemable convertible preferred stock and from the sale of common stock through an initial public offering, common stock and pre-funded warrants through follow-on public offerings and common stock from at-the-market offerings under our shelf registration statement. From inception through June 30, 2024, we have raised $1.0 billion in aggregate cash proceeds from such transactions, net of issuance costs. As of June 30, 2024, we had cash, cash equivalents and marketable securities of $433.8 million.</w:t>
      </w:r>
    </w:p>
    <w:p>
      <w:pPr>
        <w:spacing w:after="0" w:line="179"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In November 2021, we entered into an Open Market Sale Agreement, or the 2021 Sales Agreement, with Jefferies LLC, or Jefferies, to provide for the offering, issuance and sale of up to an aggregate amount of $125.0 million of common stock from time to time in at-the-market offerings for which Jefferies acted as sales agent. We terminated the 2021 Sales Agreement in June 2023.</w:t>
      </w:r>
    </w:p>
    <w:p>
      <w:pPr>
        <w:spacing w:after="0" w:line="171"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On June 21, 2023, we completed a public offering of: (i) an aggregate of 4,296,646 shares of common stock at a public offering price of $14.25 per share, including the underwriters' full exercise of their option to purchase 619,979 additional shares of common stock, and (ii) pre-funded warrants to purchase 470,000 shares of common stock at a public offering price of $14.2485 per share. The purchase prices per share for each pre-funded warrant represents the per share offering price for the common stock, less the $0.0015 per share exercise price for each underlying share. Total net proceeds generated from the offering were approximately $63.4 million, after deducting underwriting discounts, commissions and other offering expenses payable by us. As of June 30, 2024, all warrants associated with this offering were exercised on a cashless basis with no proceeds received by the Company.</w:t>
      </w:r>
    </w:p>
    <w:p>
      <w:pPr>
        <w:spacing w:after="0" w:line="183"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In December 2023, we entered into an Open Market Sale Agreement, or the 2023 Sales Agreement, with Jefferies, to provide for the offering, issuance and sale of up to an aggregate amount of $ 75.0 million of common stock in at-the-market offerings. The 2023 Sales Agreement was terminated in January 2024. During the three months ended March 31, 2024, we issued and sold an aggregate of 192,190 shares under the 2023 Sales Agreement for aggregate net proceeds of $5.3 million, after deducting commissions and offering expenses payable by us.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0" w:name="page31"/>
    <w:bookmarkEnd w:id="30"/>
    <w:p>
      <w:pPr>
        <w:ind w:firstLine="445"/>
        <w:spacing w:after="0" w:line="274" w:lineRule="auto"/>
        <w:rPr>
          <w:sz w:val="20"/>
          <w:szCs w:val="20"/>
          <w:color w:val="auto"/>
        </w:rPr>
      </w:pPr>
      <w:r>
        <w:rPr>
          <w:rFonts w:ascii="Arial" w:cs="Arial" w:eastAsia="Arial" w:hAnsi="Arial"/>
          <w:sz w:val="17"/>
          <w:szCs w:val="17"/>
          <w:color w:val="auto"/>
        </w:rPr>
        <w:t>On January 16, 2024, we completed a public offering of: (i) an aggregate of 3,802,025 shares of our common stock at a public offering price of $35.50 per share, including the underwriters' full exercise of their option to purchase 633,750 additional shares of common stock, and (ii) pre-funded warrants to purchase 1,056,725 shares of common stock at a public offering price of $35.4999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$161.6 million, after deducting underwriting discounts, commissions and other offering expenses payable by us. As of June 30, 2024, 152,145 warrants associated with this offering were exercised on a cashless basis with no cash proceeds received by the Company.</w:t>
      </w:r>
    </w:p>
    <w:p>
      <w:pPr>
        <w:spacing w:after="0" w:line="166" w:lineRule="exact"/>
        <w:rPr>
          <w:sz w:val="20"/>
          <w:szCs w:val="20"/>
          <w:color w:val="auto"/>
        </w:rPr>
      </w:pPr>
    </w:p>
    <w:p>
      <w:pPr>
        <w:ind w:right="460" w:firstLine="445"/>
        <w:spacing w:after="0" w:line="259" w:lineRule="auto"/>
        <w:rPr>
          <w:sz w:val="20"/>
          <w:szCs w:val="20"/>
          <w:color w:val="auto"/>
        </w:rPr>
      </w:pPr>
      <w:r>
        <w:rPr>
          <w:rFonts w:ascii="Arial" w:cs="Arial" w:eastAsia="Arial" w:hAnsi="Arial"/>
          <w:sz w:val="18"/>
          <w:szCs w:val="18"/>
          <w:color w:val="auto"/>
        </w:rPr>
        <w:t>In March 2024, we entered into an Open Market Sale Agreement, or the 2024 Sales Agreement, with Jefferies, to provide for the offering, issuance, and sale of up to an aggregate amount of $150.0 million of common stock in at-the-market offerings. During the six months ended June 30, 2024, we issued and sold an aggregate of 17,662 shares under the 2024 Sales Agreement for aggregate net proceeds of $0.9 million, after deducting commissions and offering expenses payable by us. We did not make any sales under the 2024 Sales Agreement during the three months ended June 30, 2024.</w:t>
      </w:r>
    </w:p>
    <w:p>
      <w:pPr>
        <w:spacing w:after="0" w:line="179"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April 2, 2024, we completed a public offering of: (i) an aggregate of 3,849,558 shares of our common stock at a public offering price of $56.50 per share, including the underwriters' full exercise of their option to purchase 530,973 additional shares of common stock, and (ii) pre-funded warrants to purchase 221,238 shares of common stock at a public offering price of $56.4999 per share of common stock underlying the warrants. The purchase price per share for each pre-funded warrant represents the per share offering price for the common stock, less the $0.0001 per share exercise price of each underlying share. Total net proceeds generated from the offering were approximately $216.0 million, after deducting underwriting discounts, commissions and other offering expenses payable by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cash flows for each period presented (in thousands):</w:t>
      </w:r>
    </w:p>
    <w:p>
      <w:pPr>
        <w:spacing w:after="0" w:line="143"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Six Months Ended</w:t>
      </w:r>
    </w:p>
    <w:p>
      <w:pPr>
        <w:jc w:val="center"/>
        <w:ind w:left="8040"/>
        <w:spacing w:after="0"/>
        <w:rPr>
          <w:sz w:val="20"/>
          <w:szCs w:val="20"/>
          <w:color w:val="auto"/>
        </w:rPr>
      </w:pPr>
      <w:r>
        <w:rPr>
          <w:rFonts w:ascii="Arial" w:cs="Arial" w:eastAsia="Arial" w:hAnsi="Arial"/>
          <w:sz w:val="16"/>
          <w:szCs w:val="16"/>
          <w:b w:val="1"/>
          <w:bCs w:val="1"/>
          <w:color w:val="auto"/>
        </w:rPr>
        <w:t>June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(48,135)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center"/>
              <w:ind w:left="459"/>
              <w:spacing w:after="0"/>
              <w:rPr>
                <w:sz w:val="20"/>
                <w:szCs w:val="20"/>
                <w:color w:val="auto"/>
              </w:rPr>
            </w:pPr>
            <w:r>
              <w:rPr>
                <w:rFonts w:ascii="Arial" w:cs="Arial" w:eastAsia="Arial" w:hAnsi="Arial"/>
                <w:sz w:val="16"/>
                <w:szCs w:val="16"/>
                <w:color w:val="auto"/>
              </w:rPr>
              <w:t>(64,060)</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w w:val="98"/>
              </w:rPr>
              <w:t>39,000</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399,120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w w:val="98"/>
              </w:rPr>
              <w:t>87,745</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63,843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center"/>
              <w:ind w:left="479"/>
              <w:spacing w:after="0"/>
              <w:rPr>
                <w:sz w:val="20"/>
                <w:szCs w:val="20"/>
                <w:color w:val="auto"/>
              </w:rPr>
            </w:pPr>
            <w:r>
              <w:rPr>
                <w:rFonts w:ascii="Arial" w:cs="Arial" w:eastAsia="Arial" w:hAnsi="Arial"/>
                <w:sz w:val="16"/>
                <w:szCs w:val="16"/>
                <w:color w:val="auto"/>
                <w:w w:val="98"/>
              </w:rPr>
              <w:t>62,685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5"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 changes in operating assets and liabilities, which are primarily the result of increased expenses and timing of vendor payments.</w:t>
      </w:r>
    </w:p>
    <w:p>
      <w:pPr>
        <w:spacing w:after="0" w:line="179" w:lineRule="exact"/>
        <w:rPr>
          <w:sz w:val="20"/>
          <w:szCs w:val="20"/>
          <w:color w:val="auto"/>
        </w:rPr>
      </w:pPr>
    </w:p>
    <w:p>
      <w:pPr>
        <w:ind w:right="80" w:firstLine="445"/>
        <w:spacing w:after="0" w:line="268" w:lineRule="auto"/>
        <w:rPr>
          <w:sz w:val="20"/>
          <w:szCs w:val="20"/>
          <w:color w:val="auto"/>
        </w:rPr>
      </w:pPr>
      <w:r>
        <w:rPr>
          <w:rFonts w:ascii="Arial" w:cs="Arial" w:eastAsia="Arial" w:hAnsi="Arial"/>
          <w:sz w:val="18"/>
          <w:szCs w:val="18"/>
          <w:color w:val="auto"/>
        </w:rPr>
        <w:t>During the six months ended June 30, 2024, net cash used in operating activities of $48.1 million was primarily due to our $72.2 million net loss, partially offset by $2.2 million in changes in operating assets and liabilities primarily related to increases in accounts payable and accrued expenses, and $21.9 million of non-cash charges primarily related to stock-based compensation.</w:t>
      </w:r>
    </w:p>
    <w:p>
      <w:pPr>
        <w:spacing w:after="0" w:line="171" w:lineRule="exact"/>
        <w:rPr>
          <w:sz w:val="20"/>
          <w:szCs w:val="20"/>
          <w:color w:val="auto"/>
        </w:rPr>
      </w:pPr>
    </w:p>
    <w:p>
      <w:pPr>
        <w:ind w:right="80" w:firstLine="445"/>
        <w:spacing w:after="0" w:line="268" w:lineRule="auto"/>
        <w:rPr>
          <w:sz w:val="20"/>
          <w:szCs w:val="20"/>
          <w:color w:val="auto"/>
        </w:rPr>
      </w:pPr>
      <w:r>
        <w:rPr>
          <w:rFonts w:ascii="Arial" w:cs="Arial" w:eastAsia="Arial" w:hAnsi="Arial"/>
          <w:sz w:val="18"/>
          <w:szCs w:val="18"/>
          <w:color w:val="auto"/>
        </w:rPr>
        <w:t>During the six months ended June 30, 2023, net cash used in operating activities of $64.1 million was primarily due to our $71.8 million net loss and $6.3 million in changes in operating assets and liabilities primarily related to decreases in accrued expenses and accounts payable, partially offset by $14.0 million of non-cash charges primarily related to stock-based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1" w:name="page32"/>
    <w:bookmarkEnd w:id="31"/>
    <w:p>
      <w:pPr>
        <w:ind w:right="40" w:firstLine="445"/>
        <w:spacing w:after="0" w:line="287" w:lineRule="auto"/>
        <w:rPr>
          <w:sz w:val="20"/>
          <w:szCs w:val="20"/>
          <w:color w:val="auto"/>
        </w:rPr>
      </w:pPr>
      <w:r>
        <w:rPr>
          <w:rFonts w:ascii="Arial" w:cs="Arial" w:eastAsia="Arial" w:hAnsi="Arial"/>
          <w:sz w:val="18"/>
          <w:szCs w:val="18"/>
          <w:color w:val="auto"/>
        </w:rPr>
        <w:t>During the six months ended June 30, 2024, net cash used in investing activities of $287.1 million was primarily related to purchases of marketable securities partially offset by maturities of marketable securities.</w:t>
      </w:r>
    </w:p>
    <w:p>
      <w:pPr>
        <w:spacing w:after="0" w:line="153" w:lineRule="exact"/>
        <w:rPr>
          <w:sz w:val="20"/>
          <w:szCs w:val="20"/>
          <w:color w:val="auto"/>
        </w:rPr>
      </w:pPr>
    </w:p>
    <w:p>
      <w:pPr>
        <w:ind w:right="560" w:firstLine="445"/>
        <w:spacing w:after="0" w:line="287" w:lineRule="auto"/>
        <w:rPr>
          <w:sz w:val="20"/>
          <w:szCs w:val="20"/>
          <w:color w:val="auto"/>
        </w:rPr>
      </w:pPr>
      <w:r>
        <w:rPr>
          <w:rFonts w:ascii="Arial" w:cs="Arial" w:eastAsia="Arial" w:hAnsi="Arial"/>
          <w:sz w:val="18"/>
          <w:szCs w:val="18"/>
          <w:color w:val="auto"/>
        </w:rPr>
        <w:t>During the six months ended June 30, 2023, net cash provided by investing activities of $39.0 million was related to maturities of marketable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ind w:right="460" w:firstLine="445"/>
        <w:spacing w:after="0" w:line="268" w:lineRule="auto"/>
        <w:rPr>
          <w:sz w:val="20"/>
          <w:szCs w:val="20"/>
          <w:color w:val="auto"/>
        </w:rPr>
      </w:pPr>
      <w:r>
        <w:rPr>
          <w:rFonts w:ascii="Arial" w:cs="Arial" w:eastAsia="Arial" w:hAnsi="Arial"/>
          <w:sz w:val="18"/>
          <w:szCs w:val="18"/>
          <w:color w:val="auto"/>
        </w:rPr>
        <w:t>During the six months ended June 30, 2024, net cash provided by financing activities of $399.1 million consisted primarily of net proceeds from our January 2024 and April 2024 follow-on public offerings, our at-the-market offerings and our collaboration and license agreement with Tenacia.</w:t>
      </w:r>
    </w:p>
    <w:p>
      <w:pPr>
        <w:spacing w:after="0" w:line="171" w:lineRule="exact"/>
        <w:rPr>
          <w:sz w:val="20"/>
          <w:szCs w:val="20"/>
          <w:color w:val="auto"/>
        </w:rPr>
      </w:pPr>
    </w:p>
    <w:p>
      <w:pPr>
        <w:ind w:right="720" w:firstLine="445"/>
        <w:spacing w:after="0" w:line="287" w:lineRule="auto"/>
        <w:rPr>
          <w:sz w:val="20"/>
          <w:szCs w:val="20"/>
          <w:color w:val="auto"/>
        </w:rPr>
      </w:pPr>
      <w:r>
        <w:rPr>
          <w:rFonts w:ascii="Arial" w:cs="Arial" w:eastAsia="Arial" w:hAnsi="Arial"/>
          <w:sz w:val="18"/>
          <w:szCs w:val="18"/>
          <w:color w:val="auto"/>
        </w:rPr>
        <w:t>During the six months ended June 30, 2023, net cash provided by financing activities of $87.7 million consisted primarily of net proceeds from at-the-market offerings and our June 2023 follow-on public offering.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15" w:lineRule="exact"/>
        <w:rPr>
          <w:sz w:val="20"/>
          <w:szCs w:val="20"/>
          <w:color w:val="auto"/>
        </w:rPr>
      </w:pPr>
    </w:p>
    <w:p>
      <w:pPr>
        <w:jc w:val="both"/>
        <w:ind w:right="140" w:firstLine="445"/>
        <w:spacing w:after="0" w:line="268"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advance the preclinical activities and clinical trials of our product candidates. As a result, we expect to incur substantial operating losses and negative operating cash flows for the foreseeable future. We anticipate that our expenses will increase substantially if and as we:</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the clinical development of our clinical-stage product candidates within our Cerebrum™ and Solidus™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the development of any additional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potential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our IP portfolio and opportunistically acquire complementary 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71"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98"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when needed, 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116"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53" w:lineRule="exact"/>
        <w:rPr>
          <w:sz w:val="20"/>
          <w:szCs w:val="20"/>
          <w:color w:val="auto"/>
        </w:rPr>
      </w:pPr>
    </w:p>
    <w:p>
      <w:pPr>
        <w:ind w:right="180" w:firstLine="445"/>
        <w:spacing w:after="0" w:line="262" w:lineRule="auto"/>
        <w:rPr>
          <w:sz w:val="20"/>
          <w:szCs w:val="20"/>
          <w:color w:val="auto"/>
        </w:rPr>
      </w:pPr>
      <w:r>
        <w:rPr>
          <w:rFonts w:ascii="Arial" w:cs="Arial" w:eastAsia="Arial" w:hAnsi="Arial"/>
          <w:sz w:val="18"/>
          <w:szCs w:val="18"/>
          <w:color w:val="auto"/>
        </w:rPr>
        <w:t>We are unable to estimate the exact amount of our working capital requirements, but based on our current operating plan, we believe that our cash, cash equivalents, and marketable securities as of June 30, 2024 will be sufficient to fund our operating expenses and capital expenditure requirements into 2027. However, we have based this estimate on assumptions that may prove to be wrong and we could exhaust our capital resources sooner than we expect.</w:t>
      </w:r>
    </w:p>
    <w:p>
      <w:pPr>
        <w:spacing w:after="0" w:line="176"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Because of the numerous risks and uncertainties associated with product development and potential collaborations with third parties for the development of our product candidates,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122"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studies and clinical trials for our platforms and product candidates;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and technologies that we develop or may in-license;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2" w:name="page33"/>
    <w:bookmarkEnd w:id="32"/>
    <w:p>
      <w:pPr>
        <w:ind w:left="820" w:right="40" w:hanging="326"/>
        <w:spacing w:after="0" w:line="287"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98" w:lineRule="exact"/>
        <w:rPr>
          <w:rFonts w:ascii="Arial" w:cs="Arial" w:eastAsia="Arial" w:hAnsi="Arial"/>
          <w:sz w:val="18"/>
          <w:szCs w:val="18"/>
          <w:color w:val="auto"/>
        </w:rPr>
      </w:pPr>
    </w:p>
    <w:p>
      <w:pPr>
        <w:ind w:left="820" w:right="60" w:hanging="326"/>
        <w:spacing w:after="0" w:line="287"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98" w:lineRule="exact"/>
        <w:rPr>
          <w:rFonts w:ascii="Arial" w:cs="Arial" w:eastAsia="Arial" w:hAnsi="Arial"/>
          <w:sz w:val="18"/>
          <w:szCs w:val="18"/>
          <w:color w:val="auto"/>
        </w:rPr>
      </w:pPr>
    </w:p>
    <w:p>
      <w:pPr>
        <w:ind w:left="820" w:right="100" w:hanging="326"/>
        <w:spacing w:after="0" w:line="287"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IP rights and defending any IP-related claims;</w:t>
      </w:r>
    </w:p>
    <w:p>
      <w:pPr>
        <w:spacing w:after="0" w:line="98"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continuation of our existing licensing arrangements and entry into new collaborations and licensing arrangements;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any product candidates for which we receive marketing approval;</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71" w:lineRule="exact"/>
        <w:rPr>
          <w:rFonts w:ascii="Arial" w:cs="Arial" w:eastAsia="Arial" w:hAnsi="Arial"/>
          <w:sz w:val="18"/>
          <w:szCs w:val="18"/>
          <w:color w:val="auto"/>
        </w:rPr>
      </w:pPr>
    </w:p>
    <w:p>
      <w:pPr>
        <w:ind w:left="820" w:right="60" w:hanging="326"/>
        <w:spacing w:after="0" w:line="268"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171"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79"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Market volatility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183"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17"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apparent from other sources. Actual results may differ from these estimates under different assumptions or conditions.</w:t>
      </w:r>
    </w:p>
    <w:p>
      <w:pPr>
        <w:spacing w:after="0" w:line="225"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Estimates” included in our Annual Report on Form 10-K filed with the SEC on March 5, 2024, other than as disclosed in Note 2 to our condensed consolidated financial statements appearing elsewhere in this Quarterly Report on Form 10-Q.</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ind w:firstLine="445"/>
        <w:spacing w:after="0" w:line="268"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condensed consolidated financial statements appearing elsewhere in this Quarterly Report on Form 10-Q, such standards will not have a material impact on our condensed consolidated financial statements or do not otherwise apply to our current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firstLine="445"/>
        <w:spacing w:after="0" w:line="278" w:lineRule="auto"/>
        <w:rPr>
          <w:sz w:val="20"/>
          <w:szCs w:val="20"/>
          <w:color w:val="auto"/>
        </w:rPr>
      </w:pPr>
      <w:r>
        <w:rPr>
          <w:rFonts w:ascii="Arial" w:cs="Arial" w:eastAsia="Arial" w:hAnsi="Arial"/>
          <w:sz w:val="17"/>
          <w:szCs w:val="17"/>
          <w:color w:val="auto"/>
        </w:rPr>
        <w:t>We are exposed to market risk related to changes in interest rates. Our primary exposure to market risk is interest rate sensitivity, which is affected by changes in the general level of U.S. interest rates, particularly because cash, cash equivalents and marketable securities we may hold at any time may be in the form of money market funds or marketable debt securities or may be invested in U.S. Treasury and U.S. government agency obligations. However, because of the low risk profile of the instruments in our portfolio at any given time, an immediate change in market interest rates of 100 basis points would not have a material impact on our financial position or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5"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as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85" w:lineRule="exact"/>
        <w:rPr>
          <w:sz w:val="20"/>
          <w:szCs w:val="20"/>
          <w:color w:val="auto"/>
        </w:rPr>
      </w:pPr>
    </w:p>
    <w:p>
      <w:pPr>
        <w:ind w:right="80" w:firstLine="445"/>
        <w:spacing w:after="0" w:line="262"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2024. Based on the evaluation of our disclosure controls and procedures as of June 30, 2024, our Chief Executive Officer and Chief Financial Officer concluded that, as of such date, our disclosure controls and procedures were effective at the reasonable assurance level.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ind w:right="140" w:firstLine="445"/>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As of the date of this Quarterly Report on Form 10-Q,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400" w:firstLine="445"/>
        <w:spacing w:after="0" w:line="287" w:lineRule="auto"/>
        <w:rPr>
          <w:sz w:val="20"/>
          <w:szCs w:val="20"/>
          <w:color w:val="auto"/>
        </w:rPr>
      </w:pPr>
      <w:r>
        <w:rPr>
          <w:rFonts w:ascii="Arial" w:cs="Arial" w:eastAsia="Arial" w:hAnsi="Arial"/>
          <w:sz w:val="18"/>
          <w:szCs w:val="18"/>
          <w:color w:val="auto"/>
        </w:rPr>
        <w:t>There have been no material changes from the risk factors previously disclosed in the section entitled "Risk Factors" of our Annual Report on Form 10-K for the year ended December 31, 2023 filed with the SEC on March 5, 2024.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make any sales of unregistered securities during the three months ended June 30, 2024.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left="820" w:right="5280" w:hanging="407"/>
        <w:spacing w:after="0" w:line="375" w:lineRule="auto"/>
        <w:tabs>
          <w:tab w:leader="none" w:pos="8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Disclosure in lieu of reporting on a Current Report on Form 8-K. None.</w:t>
      </w:r>
    </w:p>
    <w:p>
      <w:pPr>
        <w:spacing w:after="0" w:line="1" w:lineRule="exact"/>
        <w:rPr>
          <w:rFonts w:ascii="Arial" w:cs="Arial" w:eastAsia="Arial" w:hAnsi="Arial"/>
          <w:sz w:val="18"/>
          <w:szCs w:val="18"/>
          <w:color w:val="auto"/>
        </w:rPr>
      </w:pPr>
    </w:p>
    <w:p>
      <w:pPr>
        <w:ind w:left="820" w:right="1240" w:hanging="407"/>
        <w:spacing w:after="0" w:line="375" w:lineRule="auto"/>
        <w:tabs>
          <w:tab w:leader="none" w:pos="8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Material changes to the procedures by which security holders may recommend nominees to the board of directors. None.</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Insider Trading Arrangements and Policies.</w:t>
      </w:r>
    </w:p>
    <w:p>
      <w:pPr>
        <w:spacing w:after="0" w:line="117" w:lineRule="exact"/>
        <w:rPr>
          <w:rFonts w:ascii="Arial" w:cs="Arial" w:eastAsia="Arial" w:hAnsi="Arial"/>
          <w:sz w:val="18"/>
          <w:szCs w:val="18"/>
          <w:color w:val="auto"/>
        </w:rPr>
      </w:pPr>
    </w:p>
    <w:p>
      <w:pPr>
        <w:ind w:left="820" w:right="60"/>
        <w:spacing w:after="0" w:line="287" w:lineRule="auto"/>
        <w:rPr>
          <w:rFonts w:ascii="Arial" w:cs="Arial" w:eastAsia="Arial" w:hAnsi="Arial"/>
          <w:sz w:val="18"/>
          <w:szCs w:val="18"/>
          <w:color w:val="auto"/>
        </w:rPr>
      </w:pPr>
      <w:r>
        <w:rPr>
          <w:rFonts w:ascii="Arial" w:cs="Arial" w:eastAsia="Arial" w:hAnsi="Arial"/>
          <w:sz w:val="18"/>
          <w:szCs w:val="18"/>
          <w:color w:val="auto"/>
        </w:rPr>
        <w:t>During the three months ended June 30,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2"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00" w:type="dxa"/>
            <w:vAlign w:val="bottom"/>
            <w:gridSpan w:val="6"/>
          </w:tcPr>
          <w:p>
            <w:pPr>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960" w:type="dxa"/>
            <w:vAlign w:val="bottom"/>
            <w:gridSpan w:val="15"/>
            <w:vMerge w:val="restart"/>
          </w:tcPr>
          <w:p>
            <w:pPr>
              <w:ind w:left="22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6"/>
          </w:tcPr>
          <w:p>
            <w:pP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960" w:type="dxa"/>
            <w:vAlign w:val="bottom"/>
            <w:gridSpan w:val="1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tcBorders>
              <w:top w:val="single" w:sz="8" w:color="auto"/>
            </w:tcBorders>
            <w:gridSpan w:val="3"/>
          </w:tcPr>
          <w:p>
            <w:pPr>
              <w:ind w:left="20"/>
              <w:spacing w:after="0"/>
              <w:rPr>
                <w:rFonts w:ascii="Arial" w:cs="Arial" w:eastAsia="Arial" w:hAnsi="Arial"/>
                <w:sz w:val="18"/>
                <w:szCs w:val="18"/>
                <w:color w:val="0000FF"/>
              </w:rPr>
            </w:pPr>
            <w:hyperlink r:id="rId5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460" w:type="dxa"/>
            <w:vAlign w:val="bottom"/>
            <w:tcBorders>
              <w:top w:val="single" w:sz="8" w:color="auto"/>
            </w:tcBorders>
            <w:gridSpan w:val="17"/>
          </w:tcPr>
          <w:p>
            <w:pPr>
              <w:spacing w:after="0"/>
              <w:rPr>
                <w:rFonts w:ascii="Arial" w:cs="Arial" w:eastAsia="Arial" w:hAnsi="Arial"/>
                <w:sz w:val="18"/>
                <w:szCs w:val="18"/>
                <w:color w:val="0000FF"/>
              </w:rPr>
            </w:pPr>
            <w:hyperlink r:id="rId56">
              <w:r>
                <w:rPr>
                  <w:rFonts w:ascii="Arial" w:cs="Arial" w:eastAsia="Arial" w:hAnsi="Arial"/>
                  <w:sz w:val="18"/>
                  <w:szCs w:val="18"/>
                  <w:color w:val="0000FF"/>
                </w:rPr>
                <w:t>Amended and Restated Certificate of Incorporation of Praxis Precision Medicines, Inc. (incorporated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reference to Exhibit 3.1 to the Registrant's Current Report on Form 8-K (File No. 001-39620) filed on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56">
              <w:r>
                <w:rPr>
                  <w:rFonts w:ascii="Arial" w:cs="Arial" w:eastAsia="Arial" w:hAnsi="Arial"/>
                  <w:sz w:val="18"/>
                  <w:szCs w:val="18"/>
                  <w:color w:val="0000FF"/>
                  <w:w w:val="98"/>
                </w:rPr>
                <w:t>October 20, 2020).</w:t>
              </w:r>
            </w:hyperlink>
          </w:p>
        </w:tc>
        <w:tc>
          <w:tcPr>
            <w:tcW w:w="6460" w:type="dxa"/>
            <w:vAlign w:val="bottom"/>
            <w:tcBorders>
              <w:top w:val="single" w:sz="8" w:color="0000FF"/>
            </w:tcBorders>
            <w:gridSpan w:val="9"/>
          </w:tcPr>
          <w:p>
            <w:pPr>
              <w:spacing w:after="0"/>
              <w:rPr>
                <w:sz w:val="13"/>
                <w:szCs w:val="13"/>
                <w:color w:val="auto"/>
              </w:rPr>
            </w:pPr>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380" w:type="dxa"/>
            <w:vAlign w:val="bottom"/>
            <w:gridSpan w:val="3"/>
          </w:tcPr>
          <w:p>
            <w:pPr>
              <w:ind w:left="20"/>
              <w:spacing w:after="0"/>
              <w:rPr>
                <w:rFonts w:ascii="Arial" w:cs="Arial" w:eastAsia="Arial" w:hAnsi="Arial"/>
                <w:sz w:val="18"/>
                <w:szCs w:val="18"/>
                <w:color w:val="0000FF"/>
              </w:rPr>
            </w:pPr>
            <w:hyperlink r:id="rId5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17"/>
          </w:tcPr>
          <w:p>
            <w:pPr>
              <w:spacing w:after="0"/>
              <w:rPr>
                <w:rFonts w:ascii="Arial" w:cs="Arial" w:eastAsia="Arial" w:hAnsi="Arial"/>
                <w:sz w:val="18"/>
                <w:szCs w:val="18"/>
                <w:color w:val="0000FF"/>
              </w:rPr>
            </w:pPr>
            <w:hyperlink r:id="rId57">
              <w:r>
                <w:rPr>
                  <w:rFonts w:ascii="Arial" w:cs="Arial" w:eastAsia="Arial" w:hAnsi="Arial"/>
                  <w:sz w:val="18"/>
                  <w:szCs w:val="18"/>
                  <w:color w:val="0000FF"/>
                </w:rPr>
                <w:t>Amended and Restated Bylaws of Praxis Precision Medicines, Inc. (incorporated by reference to Exhibit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8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57">
              <w:r>
                <w:rPr>
                  <w:rFonts w:ascii="Arial" w:cs="Arial" w:eastAsia="Arial" w:hAnsi="Arial"/>
                  <w:sz w:val="18"/>
                  <w:szCs w:val="18"/>
                  <w:color w:val="0000FF"/>
                  <w:w w:val="99"/>
                </w:rPr>
                <w:t>3.</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Registrant's Current Report on Form 8-K (File No. 001-39620) filed on January 7, 2022).</w:t>
              </w:r>
            </w:hyperlink>
          </w:p>
        </w:tc>
        <w:tc>
          <w:tcPr>
            <w:tcW w:w="420" w:type="dxa"/>
            <w:vAlign w:val="bottom"/>
            <w:tcBorders>
              <w:top w:val="single" w:sz="8" w:color="0000FF"/>
            </w:tcBorders>
            <w:gridSpan w:val="4"/>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380" w:type="dxa"/>
            <w:vAlign w:val="bottom"/>
            <w:gridSpan w:val="3"/>
          </w:tcPr>
          <w:p>
            <w:pPr>
              <w:ind w:left="20"/>
              <w:spacing w:after="0"/>
              <w:rPr>
                <w:rFonts w:ascii="Arial" w:cs="Arial" w:eastAsia="Arial" w:hAnsi="Arial"/>
                <w:sz w:val="18"/>
                <w:szCs w:val="18"/>
                <w:color w:val="0000FF"/>
              </w:rPr>
            </w:pPr>
            <w:hyperlink r:id="rId58">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17"/>
          </w:tcPr>
          <w:p>
            <w:pPr>
              <w:spacing w:after="0"/>
              <w:rPr>
                <w:rFonts w:ascii="Arial" w:cs="Arial" w:eastAsia="Arial" w:hAnsi="Arial"/>
                <w:sz w:val="18"/>
                <w:szCs w:val="18"/>
                <w:color w:val="0000FF"/>
              </w:rPr>
            </w:pPr>
            <w:hyperlink r:id="rId58">
              <w:r>
                <w:rPr>
                  <w:rFonts w:ascii="Arial" w:cs="Arial" w:eastAsia="Arial" w:hAnsi="Arial"/>
                  <w:sz w:val="18"/>
                  <w:szCs w:val="18"/>
                  <w:color w:val="0000FF"/>
                </w:rPr>
                <w:t>Form of Pre-funded Warrant (incorporated by reference to Exhibit 4.1 to the Registrant's Current Report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on Form 8-K (File No. 001-39620) filed on January 12, 2024</w:t>
              </w:r>
            </w:hyperlink>
          </w:p>
        </w:tc>
        <w:tc>
          <w:tcPr>
            <w:tcW w:w="1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80" w:type="dxa"/>
            <w:vAlign w:val="bottom"/>
            <w:gridSpan w:val="3"/>
          </w:tcPr>
          <w:p>
            <w:pPr>
              <w:ind w:left="20"/>
              <w:spacing w:after="0"/>
              <w:rPr>
                <w:rFonts w:ascii="Arial" w:cs="Arial" w:eastAsia="Arial" w:hAnsi="Arial"/>
                <w:sz w:val="18"/>
                <w:szCs w:val="18"/>
                <w:color w:val="0000FF"/>
              </w:rPr>
            </w:pPr>
            <w:hyperlink r:id="rId59">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17"/>
          </w:tcPr>
          <w:p>
            <w:pPr>
              <w:spacing w:after="0"/>
              <w:rPr>
                <w:rFonts w:ascii="Arial" w:cs="Arial" w:eastAsia="Arial" w:hAnsi="Arial"/>
                <w:sz w:val="18"/>
                <w:szCs w:val="18"/>
                <w:color w:val="0000FF"/>
              </w:rPr>
            </w:pPr>
            <w:hyperlink r:id="rId59">
              <w:r>
                <w:rPr>
                  <w:rFonts w:ascii="Arial" w:cs="Arial" w:eastAsia="Arial" w:hAnsi="Arial"/>
                  <w:sz w:val="18"/>
                  <w:szCs w:val="18"/>
                  <w:color w:val="0000FF"/>
                </w:rPr>
                <w:t>Form of Pre-funded Warrant (incorporated by reference to Exhibit 4.1 to the Registrant's Current Report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on Form 8-K (File No. 001-39620) filed on March 29, 2024</w:t>
              </w:r>
            </w:hyperlink>
          </w:p>
        </w:tc>
        <w:tc>
          <w:tcPr>
            <w:tcW w:w="1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80" w:type="dxa"/>
            <w:vAlign w:val="bottom"/>
            <w:gridSpan w:val="3"/>
          </w:tcPr>
          <w:p>
            <w:pPr>
              <w:ind w:left="20"/>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17"/>
          </w:tcPr>
          <w:p>
            <w:pPr>
              <w:spacing w:after="0"/>
              <w:rPr>
                <w:sz w:val="20"/>
                <w:szCs w:val="20"/>
                <w:color w:val="auto"/>
              </w:rPr>
            </w:pPr>
            <w:r>
              <w:rPr>
                <w:rFonts w:ascii="Arial" w:cs="Arial" w:eastAsia="Arial" w:hAnsi="Arial"/>
                <w:sz w:val="18"/>
                <w:szCs w:val="18"/>
                <w:color w:val="0000FF"/>
              </w:rPr>
              <w:t>Praxis Precision Medicines, Inc. Non-Employee Director Compensation Policy</w:t>
            </w:r>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80" w:type="dxa"/>
            <w:vAlign w:val="bottom"/>
            <w:gridSpan w:val="4"/>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gridSpan w:val="5"/>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60" w:type="dxa"/>
            <w:vAlign w:val="bottom"/>
            <w:gridSpan w:val="17"/>
          </w:tcPr>
          <w:p>
            <w:pPr>
              <w:spacing w:after="0"/>
              <w:rPr>
                <w:sz w:val="20"/>
                <w:szCs w:val="20"/>
                <w:color w:val="auto"/>
              </w:rPr>
            </w:pPr>
            <w:r>
              <w:rPr>
                <w:rFonts w:ascii="Arial" w:cs="Arial" w:eastAsia="Arial" w:hAnsi="Arial"/>
                <w:sz w:val="18"/>
                <w:szCs w:val="18"/>
                <w:color w:val="0000FF"/>
                <w:w w:val="99"/>
              </w:rPr>
              <w:t>Certification of Principal Executive Officer Pursuant to Rules 13a-14(a) and 15d-14(a) under the Securities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580" w:type="dxa"/>
            <w:vAlign w:val="bottom"/>
            <w:tcBorders>
              <w:top w:val="single" w:sz="8" w:color="0000FF"/>
              <w:bottom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9"/>
              </w:rPr>
              <w:t>Exchange Act of 1934, as Adopted Pursuant to Section 302 of the Sarbanes-Oxley Act of 2002.</w:t>
            </w:r>
          </w:p>
        </w:tc>
        <w:tc>
          <w:tcPr>
            <w:tcW w:w="8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20" w:type="dxa"/>
            <w:vAlign w:val="bottom"/>
            <w:gridSpan w:val="5"/>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17"/>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60" w:type="dxa"/>
            <w:vAlign w:val="bottom"/>
            <w:tcBorders>
              <w:top w:val="single" w:sz="8" w:color="0000FF"/>
            </w:tcBorders>
            <w:gridSpan w:val="14"/>
          </w:tcPr>
          <w:p>
            <w:pPr>
              <w:spacing w:after="0" w:line="156" w:lineRule="exact"/>
              <w:rPr>
                <w:sz w:val="20"/>
                <w:szCs w:val="20"/>
                <w:color w:val="auto"/>
              </w:rPr>
            </w:pPr>
            <w:r>
              <w:rPr>
                <w:rFonts w:ascii="Arial" w:cs="Arial" w:eastAsia="Arial" w:hAnsi="Arial"/>
                <w:sz w:val="18"/>
                <w:szCs w:val="18"/>
                <w:color w:val="0000FF"/>
              </w:rPr>
              <w:t>Exchange Act of 1934, as Adopted Pursuant to Section 302 of the Sarbanes-Oxley Act of 2002.</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20" w:type="dxa"/>
            <w:vAlign w:val="bottom"/>
            <w:gridSpan w:val="6"/>
          </w:tcPr>
          <w:p>
            <w:pPr>
              <w:ind w:left="2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18 U.S.C.</w:t>
            </w:r>
          </w:p>
        </w:tc>
        <w:tc>
          <w:tcPr>
            <w:tcW w:w="8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86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Section 1350, as Adopted Pursuant to Section 906 of the Sarbanes-Oxley Act of 2002.</w:t>
            </w:r>
          </w:p>
        </w:tc>
        <w:tc>
          <w:tcPr>
            <w:tcW w:w="640" w:type="dxa"/>
            <w:vAlign w:val="bottom"/>
            <w:tcBorders>
              <w:top w:val="single" w:sz="8" w:color="0000FF"/>
            </w:tcBorders>
          </w:tcPr>
          <w:p>
            <w:pPr>
              <w:spacing w:after="0"/>
              <w:rPr>
                <w:sz w:val="13"/>
                <w:szCs w:val="13"/>
                <w:color w:val="auto"/>
              </w:rPr>
            </w:pPr>
          </w:p>
        </w:tc>
        <w:tc>
          <w:tcPr>
            <w:tcW w:w="9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460" w:type="dxa"/>
            <w:vAlign w:val="bottom"/>
            <w:gridSpan w:val="17"/>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46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46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46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46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46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right="3600" w:firstLine="26"/>
        <w:spacing w:after="0" w:line="307" w:lineRule="auto"/>
        <w:tabs>
          <w:tab w:leader="none" w:pos="1327"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ind w:left="340" w:hanging="332"/>
        <w:spacing w:after="0" w:line="255" w:lineRule="auto"/>
        <w:tabs>
          <w:tab w:leader="none" w:pos="3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6" w:name="page37"/>
    <w:bookmarkEnd w:id="36"/>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360"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2"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PRAXIS PRECISION MEDICINES, INC.</w:t>
      </w:r>
    </w:p>
    <w:p>
      <w:pPr>
        <w:spacing w:after="0" w:line="293"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August 13,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3197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Marcio Souza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Executive Officer and Director (Principal Executive</w:t>
      </w:r>
    </w:p>
    <w:p>
      <w:pPr>
        <w:ind w:left="8400"/>
        <w:spacing w:after="0"/>
        <w:rPr>
          <w:sz w:val="20"/>
          <w:szCs w:val="20"/>
          <w:color w:val="auto"/>
        </w:rPr>
      </w:pPr>
      <w:r>
        <w:rPr>
          <w:rFonts w:ascii="Arial" w:cs="Arial" w:eastAsia="Arial" w:hAnsi="Arial"/>
          <w:sz w:val="18"/>
          <w:szCs w:val="18"/>
          <w:b w:val="1"/>
          <w:bCs w:val="1"/>
          <w:color w:val="auto"/>
        </w:rPr>
        <w:t>Officer)</w:t>
      </w:r>
    </w:p>
    <w:p>
      <w:pPr>
        <w:spacing w:after="0" w:line="288"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August 13,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3197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Timothy Kelly</w:t>
      </w:r>
    </w:p>
    <w:p>
      <w:pPr>
        <w:spacing w:after="0" w:line="40"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890" w:right="439" w:bottom="1440" w:gutter="0" w:footer="0" w:header="0"/>
        </w:sectPr>
      </w:pPr>
    </w:p>
    <w:bookmarkStart w:id="37" w:name="page38"/>
    <w:bookmarkEnd w:id="37"/>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PRAXIS PRECISION MEDICINES, INC.</w:t>
      </w: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2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 xml:space="preserve">The purpose of this Non-Employee Director Compensation Policy (the “Policy”) of Praxis Precision Medicines, Inc. (the “Company”) is to provide a total compensation package that enables the Company to attract and retain, on a long-term basis, high-caliber directors who are not employees or officers of the Company or its subsidiaries (“Outside Directors”). </w:t>
      </w:r>
      <w:r>
        <w:rPr>
          <w:rFonts w:ascii="Times New Roman" w:cs="Times New Roman" w:eastAsia="Times New Roman" w:hAnsi="Times New Roman"/>
          <w:sz w:val="20"/>
          <w:szCs w:val="20"/>
          <w:color w:val="auto"/>
        </w:rPr>
        <w:t>This Policy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 xml:space="preserve">will become effective as of the effective time of the registration statement for the Company’s initial public offering of equity securities (the “Effective Date”). </w:t>
      </w:r>
      <w:r>
        <w:rPr>
          <w:rFonts w:ascii="Times New Roman" w:cs="Times New Roman" w:eastAsia="Times New Roman" w:hAnsi="Times New Roman"/>
          <w:sz w:val="21"/>
          <w:szCs w:val="21"/>
          <w:color w:val="auto"/>
        </w:rPr>
        <w:t>In furtherance of the purpose stated above, all Outside Directors shall be paid compensation for services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provided to the Company as set forth below: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Cash Retainers</w:t>
      </w:r>
    </w:p>
    <w:p>
      <w:pPr>
        <w:spacing w:after="0" w:line="224" w:lineRule="exact"/>
        <w:rPr>
          <w:sz w:val="20"/>
          <w:szCs w:val="20"/>
          <w:color w:val="auto"/>
        </w:rPr>
      </w:pPr>
    </w:p>
    <w:p>
      <w:pPr>
        <w:ind w:left="180" w:right="60"/>
        <w:spacing w:after="0" w:line="256" w:lineRule="auto"/>
        <w:rPr>
          <w:sz w:val="20"/>
          <w:szCs w:val="20"/>
          <w:color w:val="auto"/>
        </w:rPr>
      </w:pPr>
      <w:r>
        <w:rPr>
          <w:rFonts w:ascii="Times New Roman" w:cs="Times New Roman" w:eastAsia="Times New Roman" w:hAnsi="Times New Roman"/>
          <w:sz w:val="22"/>
          <w:szCs w:val="22"/>
          <w:u w:val="single" w:color="auto"/>
          <w:color w:val="auto"/>
        </w:rPr>
        <w:t>Annual Retainer for Board Membership</w:t>
      </w:r>
      <w:r>
        <w:rPr>
          <w:rFonts w:ascii="Times New Roman" w:cs="Times New Roman" w:eastAsia="Times New Roman" w:hAnsi="Times New Roman"/>
          <w:sz w:val="22"/>
          <w:szCs w:val="22"/>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153"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Additional Annual Retainer for Non-Executive Chair:</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$35,000</w:t>
            </w:r>
          </w:p>
        </w:tc>
      </w:tr>
      <w:tr>
        <w:trPr>
          <w:trHeight w:val="20"/>
        </w:trPr>
        <w:tc>
          <w:tcPr>
            <w:tcW w:w="4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Additional Annual Retainers for Committee Membership</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80"/>
        <w:spacing w:after="0"/>
        <w:tabs>
          <w:tab w:leader="none" w:pos="2460" w:val="left"/>
        </w:tabs>
        <w:rPr>
          <w:sz w:val="20"/>
          <w:szCs w:val="20"/>
          <w:color w:val="auto"/>
        </w:rPr>
      </w:pPr>
      <w:r>
        <w:rPr>
          <w:rFonts w:ascii="Times New Roman" w:cs="Times New Roman" w:eastAsia="Times New Roman" w:hAnsi="Times New Roman"/>
          <w:sz w:val="22"/>
          <w:szCs w:val="22"/>
          <w:color w:val="auto"/>
        </w:rPr>
        <w:t>Audit Committee Chair:</w:t>
      </w:r>
      <w:r>
        <w:rPr>
          <w:sz w:val="20"/>
          <w:szCs w:val="20"/>
          <w:color w:val="auto"/>
        </w:rPr>
        <w:tab/>
      </w:r>
      <w:r>
        <w:rPr>
          <w:rFonts w:ascii="Times New Roman" w:cs="Times New Roman" w:eastAsia="Times New Roman" w:hAnsi="Times New Roman"/>
          <w:sz w:val="21"/>
          <w:szCs w:val="21"/>
          <w:color w:val="auto"/>
        </w:rPr>
        <w:t>$20,000</w:t>
      </w:r>
    </w:p>
    <w:p>
      <w:pPr>
        <w:spacing w:after="0" w:line="233" w:lineRule="exact"/>
        <w:rPr>
          <w:sz w:val="20"/>
          <w:szCs w:val="20"/>
          <w:color w:val="auto"/>
        </w:rPr>
      </w:pPr>
    </w:p>
    <w:p>
      <w:pPr>
        <w:ind w:left="180"/>
        <w:spacing w:after="0"/>
        <w:tabs>
          <w:tab w:leader="none" w:pos="2700" w:val="left"/>
        </w:tabs>
        <w:rPr>
          <w:sz w:val="20"/>
          <w:szCs w:val="20"/>
          <w:color w:val="auto"/>
        </w:rPr>
      </w:pPr>
      <w:r>
        <w:rPr>
          <w:rFonts w:ascii="Times New Roman" w:cs="Times New Roman" w:eastAsia="Times New Roman" w:hAnsi="Times New Roman"/>
          <w:sz w:val="22"/>
          <w:szCs w:val="22"/>
          <w:color w:val="auto"/>
        </w:rPr>
        <w:t>Audit Committee member:</w:t>
      </w:r>
      <w:r>
        <w:rPr>
          <w:sz w:val="20"/>
          <w:szCs w:val="20"/>
          <w:color w:val="auto"/>
        </w:rPr>
        <w:tab/>
      </w:r>
      <w:r>
        <w:rPr>
          <w:rFonts w:ascii="Times New Roman" w:cs="Times New Roman" w:eastAsia="Times New Roman" w:hAnsi="Times New Roman"/>
          <w:sz w:val="21"/>
          <w:szCs w:val="21"/>
          <w:color w:val="auto"/>
        </w:rPr>
        <w:t>$10,000</w:t>
      </w:r>
    </w:p>
    <w:p>
      <w:pPr>
        <w:spacing w:after="0" w:line="220" w:lineRule="exact"/>
        <w:rPr>
          <w:sz w:val="20"/>
          <w:szCs w:val="20"/>
          <w:color w:val="auto"/>
        </w:rPr>
      </w:pPr>
    </w:p>
    <w:p>
      <w:pPr>
        <w:ind w:left="180"/>
        <w:spacing w:after="0"/>
        <w:tabs>
          <w:tab w:leader="none" w:pos="3220" w:val="left"/>
        </w:tabs>
        <w:rPr>
          <w:sz w:val="20"/>
          <w:szCs w:val="20"/>
          <w:color w:val="auto"/>
        </w:rPr>
      </w:pPr>
      <w:r>
        <w:rPr>
          <w:rFonts w:ascii="Times New Roman" w:cs="Times New Roman" w:eastAsia="Times New Roman" w:hAnsi="Times New Roman"/>
          <w:sz w:val="22"/>
          <w:szCs w:val="22"/>
          <w:color w:val="auto"/>
        </w:rPr>
        <w:t>Compensation Committee Chair:</w:t>
      </w:r>
      <w:r>
        <w:rPr>
          <w:sz w:val="20"/>
          <w:szCs w:val="20"/>
          <w:color w:val="auto"/>
        </w:rPr>
        <w:tab/>
      </w:r>
      <w:r>
        <w:rPr>
          <w:rFonts w:ascii="Times New Roman" w:cs="Times New Roman" w:eastAsia="Times New Roman" w:hAnsi="Times New Roman"/>
          <w:sz w:val="21"/>
          <w:szCs w:val="21"/>
          <w:color w:val="auto"/>
        </w:rPr>
        <w:t>$15,000</w:t>
      </w:r>
    </w:p>
    <w:p>
      <w:pPr>
        <w:spacing w:after="0" w:line="220" w:lineRule="exact"/>
        <w:rPr>
          <w:sz w:val="20"/>
          <w:szCs w:val="20"/>
          <w:color w:val="auto"/>
        </w:rPr>
      </w:pPr>
    </w:p>
    <w:p>
      <w:pPr>
        <w:ind w:left="180"/>
        <w:spacing w:after="0"/>
        <w:tabs>
          <w:tab w:leader="none" w:pos="3460" w:val="left"/>
        </w:tabs>
        <w:rPr>
          <w:sz w:val="20"/>
          <w:szCs w:val="20"/>
          <w:color w:val="auto"/>
        </w:rPr>
      </w:pPr>
      <w:r>
        <w:rPr>
          <w:rFonts w:ascii="Times New Roman" w:cs="Times New Roman" w:eastAsia="Times New Roman" w:hAnsi="Times New Roman"/>
          <w:sz w:val="22"/>
          <w:szCs w:val="22"/>
          <w:color w:val="auto"/>
        </w:rPr>
        <w:t>Compensation Committee member:</w:t>
      </w:r>
      <w:r>
        <w:rPr>
          <w:sz w:val="20"/>
          <w:szCs w:val="20"/>
          <w:color w:val="auto"/>
        </w:rPr>
        <w:tab/>
      </w:r>
      <w:r>
        <w:rPr>
          <w:rFonts w:ascii="Times New Roman" w:cs="Times New Roman" w:eastAsia="Times New Roman" w:hAnsi="Times New Roman"/>
          <w:sz w:val="21"/>
          <w:szCs w:val="21"/>
          <w:color w:val="auto"/>
        </w:rPr>
        <w:t>$7,500</w:t>
      </w:r>
    </w:p>
    <w:p>
      <w:pPr>
        <w:spacing w:after="0" w:line="220" w:lineRule="exact"/>
        <w:rPr>
          <w:sz w:val="20"/>
          <w:szCs w:val="20"/>
          <w:color w:val="auto"/>
        </w:rPr>
      </w:pPr>
    </w:p>
    <w:p>
      <w:pPr>
        <w:ind w:left="180"/>
        <w:spacing w:after="0"/>
        <w:tabs>
          <w:tab w:leader="none" w:pos="5380" w:val="left"/>
        </w:tabs>
        <w:rPr>
          <w:sz w:val="20"/>
          <w:szCs w:val="20"/>
          <w:color w:val="auto"/>
        </w:rPr>
      </w:pPr>
      <w:r>
        <w:rPr>
          <w:rFonts w:ascii="Times New Roman" w:cs="Times New Roman" w:eastAsia="Times New Roman" w:hAnsi="Times New Roman"/>
          <w:sz w:val="22"/>
          <w:szCs w:val="22"/>
          <w:color w:val="auto"/>
        </w:rPr>
        <w:t>Nominating and Corporate Governance Committee Chair:</w:t>
      </w:r>
      <w:r>
        <w:rPr>
          <w:sz w:val="20"/>
          <w:szCs w:val="20"/>
          <w:color w:val="auto"/>
        </w:rPr>
        <w:tab/>
      </w:r>
      <w:r>
        <w:rPr>
          <w:rFonts w:ascii="Times New Roman" w:cs="Times New Roman" w:eastAsia="Times New Roman" w:hAnsi="Times New Roman"/>
          <w:sz w:val="21"/>
          <w:szCs w:val="21"/>
          <w:color w:val="auto"/>
        </w:rPr>
        <w:t>$10,000</w:t>
      </w:r>
    </w:p>
    <w:p>
      <w:pPr>
        <w:spacing w:after="0" w:line="220" w:lineRule="exact"/>
        <w:rPr>
          <w:sz w:val="20"/>
          <w:szCs w:val="20"/>
          <w:color w:val="auto"/>
        </w:rPr>
      </w:pPr>
    </w:p>
    <w:p>
      <w:pPr>
        <w:ind w:left="180"/>
        <w:spacing w:after="0"/>
        <w:tabs>
          <w:tab w:leader="none" w:pos="5620" w:val="left"/>
        </w:tabs>
        <w:rPr>
          <w:sz w:val="20"/>
          <w:szCs w:val="20"/>
          <w:color w:val="auto"/>
        </w:rPr>
      </w:pPr>
      <w:r>
        <w:rPr>
          <w:rFonts w:ascii="Times New Roman" w:cs="Times New Roman" w:eastAsia="Times New Roman" w:hAnsi="Times New Roman"/>
          <w:sz w:val="22"/>
          <w:szCs w:val="22"/>
          <w:color w:val="auto"/>
        </w:rPr>
        <w:t>Nominating and Corporate Governance Committee member:</w:t>
      </w:r>
      <w:r>
        <w:rPr>
          <w:sz w:val="20"/>
          <w:szCs w:val="20"/>
          <w:color w:val="auto"/>
        </w:rPr>
        <w:tab/>
      </w:r>
      <w:r>
        <w:rPr>
          <w:rFonts w:ascii="Times New Roman" w:cs="Times New Roman" w:eastAsia="Times New Roman" w:hAnsi="Times New Roman"/>
          <w:sz w:val="21"/>
          <w:szCs w:val="21"/>
          <w:color w:val="auto"/>
        </w:rPr>
        <w:t>$5,000</w:t>
      </w:r>
    </w:p>
    <w:p>
      <w:pPr>
        <w:spacing w:after="0" w:line="233" w:lineRule="exact"/>
        <w:rPr>
          <w:sz w:val="20"/>
          <w:szCs w:val="20"/>
          <w:color w:val="auto"/>
        </w:rPr>
      </w:pPr>
    </w:p>
    <w:p>
      <w:pPr>
        <w:ind w:left="180"/>
        <w:spacing w:after="0"/>
        <w:tabs>
          <w:tab w:leader="none" w:pos="4080" w:val="left"/>
        </w:tabs>
        <w:rPr>
          <w:sz w:val="20"/>
          <w:szCs w:val="20"/>
          <w:color w:val="auto"/>
        </w:rPr>
      </w:pPr>
      <w:r>
        <w:rPr>
          <w:rFonts w:ascii="Times New Roman" w:cs="Times New Roman" w:eastAsia="Times New Roman" w:hAnsi="Times New Roman"/>
          <w:sz w:val="22"/>
          <w:szCs w:val="22"/>
          <w:color w:val="auto"/>
        </w:rPr>
        <w:t>Science and Technology Committee Chair:</w:t>
      </w:r>
      <w:r>
        <w:rPr>
          <w:sz w:val="20"/>
          <w:szCs w:val="20"/>
          <w:color w:val="auto"/>
        </w:rPr>
        <w:tab/>
      </w:r>
      <w:r>
        <w:rPr>
          <w:rFonts w:ascii="Times New Roman" w:cs="Times New Roman" w:eastAsia="Times New Roman" w:hAnsi="Times New Roman"/>
          <w:sz w:val="21"/>
          <w:szCs w:val="21"/>
          <w:color w:val="auto"/>
        </w:rPr>
        <w:t>$8,000</w:t>
      </w:r>
    </w:p>
    <w:p>
      <w:pPr>
        <w:spacing w:after="0" w:line="220" w:lineRule="exact"/>
        <w:rPr>
          <w:sz w:val="20"/>
          <w:szCs w:val="20"/>
          <w:color w:val="auto"/>
        </w:rPr>
      </w:pPr>
    </w:p>
    <w:p>
      <w:pPr>
        <w:ind w:left="180"/>
        <w:spacing w:after="0"/>
        <w:tabs>
          <w:tab w:leader="none" w:pos="4320" w:val="left"/>
        </w:tabs>
        <w:rPr>
          <w:sz w:val="20"/>
          <w:szCs w:val="20"/>
          <w:color w:val="auto"/>
        </w:rPr>
      </w:pPr>
      <w:r>
        <w:rPr>
          <w:rFonts w:ascii="Times New Roman" w:cs="Times New Roman" w:eastAsia="Times New Roman" w:hAnsi="Times New Roman"/>
          <w:sz w:val="22"/>
          <w:szCs w:val="22"/>
          <w:color w:val="auto"/>
        </w:rPr>
        <w:t>Science and Technology Committee member:</w:t>
      </w:r>
      <w:r>
        <w:rPr>
          <w:sz w:val="20"/>
          <w:szCs w:val="20"/>
          <w:color w:val="auto"/>
        </w:rPr>
        <w:tab/>
      </w:r>
      <w:r>
        <w:rPr>
          <w:rFonts w:ascii="Times New Roman" w:cs="Times New Roman" w:eastAsia="Times New Roman" w:hAnsi="Times New Roman"/>
          <w:sz w:val="21"/>
          <w:szCs w:val="21"/>
          <w:color w:val="auto"/>
        </w:rPr>
        <w:t>$4,000</w:t>
      </w:r>
    </w:p>
    <w:p>
      <w:pPr>
        <w:spacing w:after="0" w:line="220" w:lineRule="exact"/>
        <w:rPr>
          <w:sz w:val="20"/>
          <w:szCs w:val="20"/>
          <w:color w:val="auto"/>
        </w:rPr>
      </w:pPr>
    </w:p>
    <w:p>
      <w:pPr>
        <w:ind w:left="180" w:right="620"/>
        <w:spacing w:after="0" w:line="271" w:lineRule="auto"/>
        <w:rPr>
          <w:sz w:val="20"/>
          <w:szCs w:val="20"/>
          <w:color w:val="auto"/>
        </w:rPr>
      </w:pPr>
      <w:r>
        <w:rPr>
          <w:rFonts w:ascii="Times New Roman" w:cs="Times New Roman" w:eastAsia="Times New Roman" w:hAnsi="Times New Roman"/>
          <w:sz w:val="22"/>
          <w:szCs w:val="22"/>
          <w:color w:val="auto"/>
        </w:rPr>
        <w:t>Chair and committee member retainers are in addition to retainers for members of the Board of Directors. No additional compensation will be paid for attending individual committee meetings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40"/>
          </w:cols>
          <w:pgMar w:left="320" w:top="1418"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u w:val="single" w:color="auto"/>
          <w:color w:val="auto"/>
        </w:rPr>
        <w:t>Equity Retainers</w:t>
      </w:r>
    </w:p>
    <w:p>
      <w:pPr>
        <w:spacing w:after="0" w:line="224" w:lineRule="exact"/>
        <w:rPr>
          <w:sz w:val="20"/>
          <w:szCs w:val="20"/>
          <w:color w:val="auto"/>
        </w:rPr>
      </w:pPr>
    </w:p>
    <w:p>
      <w:pPr>
        <w:ind w:left="180" w:right="40"/>
        <w:spacing w:after="0" w:line="250" w:lineRule="auto"/>
        <w:rPr>
          <w:sz w:val="20"/>
          <w:szCs w:val="20"/>
          <w:color w:val="auto"/>
        </w:rPr>
      </w:pP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xml:space="preserve"> : An initial, one-time stock option award (the “Initial Award”) to purchase a number of shares equal to 0.1% of the total number of shares of the Company’s common stock issued and outstanding on the date of grant will be granted to each new Outside Director upon his or her election to the Board of Directors, which shall vest in equal monthly installments over three years from the date of grant; provided, however, that all vesting shall cease if the director resigns from the Board of Directors or otherwise ceases to serve as a director of the Company. The Initial Award shall expire ten years from the date of grant, and shall have a per share exercise price equal to the Fair Market Value (as defined in the Company’s 2020 Stock Option and Incentive Plan) of the Company’s common stock on the date of grant. This Initial Award applies only to Outside Directors who are first elected to the Board of Directors subsequent to the Effective Date.</w:t>
      </w:r>
    </w:p>
    <w:p>
      <w:pPr>
        <w:spacing w:after="0" w:line="187" w:lineRule="exact"/>
        <w:rPr>
          <w:sz w:val="20"/>
          <w:szCs w:val="20"/>
          <w:color w:val="auto"/>
        </w:rPr>
      </w:pPr>
    </w:p>
    <w:p>
      <w:pPr>
        <w:ind w:left="180" w:right="100"/>
        <w:spacing w:after="0" w:line="248" w:lineRule="auto"/>
        <w:rPr>
          <w:sz w:val="20"/>
          <w:szCs w:val="20"/>
          <w:color w:val="auto"/>
        </w:rPr>
      </w:pP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On each date of each Annual Meeting of Stockholders of the Company following the Effective Date (the “Annual Meeting”), each continuing Outside Director, other than a director receiving an Initial Award, will receive an annual stock option award (the “Annual Award”) to purchase a number of shares equal to 0.05% of the total number of shares of the Company’s common stock issued and outstanding on the date of grant, which shall vest in twelve equal monthly installments from the date of grant; provided, however, that all vesting shall cease if the director resigns from the Board of Directors or otherwise ceases to serve as a director, unless the Board of Directors determines that the circumstances warrant continuation of vesting. Such Annual Award shall expire ten years from the date of grant, and shall have a per share exercise price equal to the Fair Market Value (as defined in the Company’s 2020 Stock Option and Incentive Plan) of the Company’s common stock on the date of grant.</w:t>
      </w:r>
    </w:p>
    <w:p>
      <w:pPr>
        <w:spacing w:after="0" w:line="185" w:lineRule="exact"/>
        <w:rPr>
          <w:sz w:val="20"/>
          <w:szCs w:val="20"/>
          <w:color w:val="auto"/>
        </w:rPr>
      </w:pPr>
    </w:p>
    <w:p>
      <w:pPr>
        <w:ind w:left="180" w:right="400"/>
        <w:spacing w:after="0" w:line="284" w:lineRule="auto"/>
        <w:rPr>
          <w:sz w:val="20"/>
          <w:szCs w:val="20"/>
          <w:color w:val="auto"/>
        </w:rPr>
      </w:pPr>
      <w:r>
        <w:rPr>
          <w:rFonts w:ascii="Times New Roman" w:cs="Times New Roman" w:eastAsia="Times New Roman" w:hAnsi="Times New Roman"/>
          <w:sz w:val="22"/>
          <w:szCs w:val="22"/>
          <w:u w:val="single" w:color="auto"/>
          <w:color w:val="auto"/>
        </w:rPr>
        <w:t>Sale Event Acceleration</w:t>
      </w:r>
      <w:r>
        <w:rPr>
          <w:rFonts w:ascii="Times New Roman" w:cs="Times New Roman" w:eastAsia="Times New Roman" w:hAnsi="Times New Roman"/>
          <w:sz w:val="22"/>
          <w:szCs w:val="22"/>
          <w:color w:val="auto"/>
        </w:rPr>
        <w:t>: All outstanding Initial Awards and Annual Awards held by an Outside Director shall become fully vested and exercisable upon a Sale Event (as defined in the Company’s 2020 Stock Option and Incentive Plan).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Expenses</w:t>
      </w:r>
    </w:p>
    <w:p>
      <w:pPr>
        <w:spacing w:after="0" w:line="224" w:lineRule="exact"/>
        <w:rPr>
          <w:sz w:val="20"/>
          <w:szCs w:val="20"/>
          <w:color w:val="auto"/>
        </w:rPr>
      </w:pPr>
    </w:p>
    <w:p>
      <w:pPr>
        <w:ind w:left="180" w:right="160"/>
        <w:spacing w:after="0" w:line="271" w:lineRule="auto"/>
        <w:rPr>
          <w:sz w:val="20"/>
          <w:szCs w:val="20"/>
          <w:color w:val="auto"/>
        </w:rPr>
      </w:pPr>
      <w:r>
        <w:rPr>
          <w:rFonts w:ascii="Times New Roman" w:cs="Times New Roman" w:eastAsia="Times New Roman" w:hAnsi="Times New Roman"/>
          <w:sz w:val="22"/>
          <w:szCs w:val="22"/>
          <w:color w:val="auto"/>
        </w:rPr>
        <w:t>The Company will reimburse all reasonable out-of-pocket expenses incurred by non-employee directors in attending meetings of the Board of Directors or any committee thereof.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Maximum Annual Compensation</w:t>
      </w:r>
    </w:p>
    <w:p>
      <w:pPr>
        <w:spacing w:after="0" w:line="237"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22"/>
          <w:szCs w:val="22"/>
          <w:color w:val="auto"/>
        </w:rPr>
        <w:t>The aggregate amount of compensation, including both equity compensation and cash compensation, paid by the Company to any Outside Director in a calendar year for services as an Outside Director shall not exceed $750,000; provided, however, that such amount shall be $1,000,000 for the calendar year in which the applicable Outside Director is initially elected or appointed to the Board of Directors and such amount shall be $1,500,000 for the non-executive Chair of the Board of Directors; (or such other limits as may be set forth in Section 3(b) of the Company’s 2020 Stock Option and Incentive Plan or any similar provision of a successor plan). For this purpose, the “amount” of equity compensation paid in a calendar year shall be determined based on the grant date fair value thereof, as determined in accordance with FASB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39" w:name="page40"/>
    <w:bookmarkEnd w:id="39"/>
    <w:p>
      <w:pPr>
        <w:jc w:val="both"/>
        <w:ind w:left="180"/>
        <w:spacing w:after="0" w:line="256" w:lineRule="auto"/>
        <w:rPr>
          <w:sz w:val="20"/>
          <w:szCs w:val="20"/>
          <w:color w:val="auto"/>
        </w:rPr>
      </w:pPr>
      <w:r>
        <w:rPr>
          <w:rFonts w:ascii="Times New Roman" w:cs="Times New Roman" w:eastAsia="Times New Roman" w:hAnsi="Times New Roman"/>
          <w:sz w:val="22"/>
          <w:szCs w:val="22"/>
          <w:color w:val="auto"/>
        </w:rPr>
        <w:t>ASC Topic 718 or its successor provision, but excluding the impact of estimated forfeitures related to service-based vesting conditions. Notwithstanding the foregoing, the independent members of the Board may make exceptions to these limits in exceptional circumstances, provided that the Non-Employee Director receiving such additional compensation may not participate in the decision to award such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Adopted September 9, 2020, as amended April 19,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Marcio Souza, certify that:</w:t>
      </w:r>
    </w:p>
    <w:p>
      <w:pPr>
        <w:spacing w:after="0" w:line="252"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Praxis Precision Medicines,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2024</w:t>
            </w:r>
          </w:p>
        </w:tc>
        <w:tc>
          <w:tcPr>
            <w:tcW w:w="30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MARCIO SOUZA</w:t>
            </w:r>
          </w:p>
        </w:tc>
      </w:tr>
      <w:tr>
        <w:trPr>
          <w:trHeight w:val="218"/>
        </w:trPr>
        <w:tc>
          <w:tcPr>
            <w:tcW w:w="4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Marcio Souza</w:t>
            </w:r>
          </w:p>
        </w:tc>
      </w:tr>
      <w:tr>
        <w:trPr>
          <w:trHeight w:val="230"/>
        </w:trPr>
        <w:tc>
          <w:tcPr>
            <w:tcW w:w="41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Kelly, certify that:</w:t>
      </w:r>
    </w:p>
    <w:p>
      <w:pPr>
        <w:spacing w:after="0" w:line="252"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Praxis Precision Medicines,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2024</w:t>
            </w:r>
          </w:p>
        </w:tc>
        <w:tc>
          <w:tcPr>
            <w:tcW w:w="30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KELLY</w:t>
            </w:r>
          </w:p>
        </w:tc>
      </w:tr>
      <w:tr>
        <w:trPr>
          <w:trHeight w:val="218"/>
        </w:trPr>
        <w:tc>
          <w:tcPr>
            <w:tcW w:w="41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Kelly</w:t>
            </w:r>
          </w:p>
        </w:tc>
      </w:tr>
      <w:tr>
        <w:trPr>
          <w:trHeight w:val="230"/>
        </w:trPr>
        <w:tc>
          <w:tcPr>
            <w:tcW w:w="41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41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42" w:name="page43"/>
    <w:bookmarkEnd w:id="42"/>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Praxis Precision Medicines, Inc. (the “Company”) for the quarter ended June 30, 2024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95" w:lineRule="exact"/>
        <w:rPr>
          <w:sz w:val="20"/>
          <w:szCs w:val="20"/>
          <w:color w:val="auto"/>
        </w:rPr>
      </w:pPr>
    </w:p>
    <w:p>
      <w:pPr>
        <w:ind w:left="740" w:hanging="327"/>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13, 2024</w:t>
            </w:r>
          </w:p>
        </w:tc>
        <w:tc>
          <w:tcPr>
            <w:tcW w:w="30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MARCIO SOUZA</w:t>
            </w:r>
          </w:p>
        </w:tc>
      </w:tr>
      <w:tr>
        <w:trPr>
          <w:trHeight w:val="218"/>
        </w:trPr>
        <w:tc>
          <w:tcPr>
            <w:tcW w:w="5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Marcio Souza</w:t>
            </w:r>
          </w:p>
        </w:tc>
      </w:tr>
      <w:tr>
        <w:trPr>
          <w:trHeight w:val="230"/>
        </w:trPr>
        <w:tc>
          <w:tcPr>
            <w:tcW w:w="5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13, 2024</w:t>
            </w:r>
          </w:p>
        </w:tc>
        <w:tc>
          <w:tcPr>
            <w:tcW w:w="30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KELLY</w:t>
            </w:r>
          </w:p>
        </w:tc>
      </w:tr>
      <w:tr>
        <w:trPr>
          <w:trHeight w:val="218"/>
        </w:trPr>
        <w:tc>
          <w:tcPr>
            <w:tcW w:w="5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Kelly</w:t>
            </w:r>
          </w:p>
        </w:tc>
      </w:tr>
      <w:tr>
        <w:trPr>
          <w:trHeight w:val="229"/>
        </w:trPr>
        <w:tc>
          <w:tcPr>
            <w:tcW w:w="5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5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bullet"/>
      <w:start w:val="1"/>
    </w:lvl>
  </w:abstractNum>
  <w:abstractNum w:abstractNumId="4">
    <w:nsid w:val="4E6AFB66"/>
    <w:multiLevelType w:val="hybridMultilevel"/>
    <w:lvl w:ilvl="0">
      <w:lvlJc w:val="left"/>
      <w:lvlText w:val="1"/>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2"/>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7"/>
    </w:lvl>
  </w:abstractNum>
  <w:abstractNum w:abstractNumId="9">
    <w:nsid w:val="7C83E458"/>
    <w:multiLevelType w:val="hybridMultilevel"/>
    <w:lvl w:ilvl="0">
      <w:lvlJc w:val="left"/>
      <w:lvlText w:val="%1."/>
      <w:numFmt w:val="decimal"/>
      <w:start w:val="8"/>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lvl w:ilvl="1">
      <w:lvlJc w:val="left"/>
      <w:lvlText w:val="◦"/>
      <w:numFmt w:val="bullet"/>
      <w:start w:val="1"/>
    </w:lvl>
  </w:abstractNum>
  <w:abstractNum w:abstractNumId="16">
    <w:nsid w:val="2443A858"/>
    <w:multiLevelType w:val="hybridMultilevel"/>
    <w:lvl w:ilvl="0">
      <w:lvlJc w:val="left"/>
      <w:lvlText w:val="•"/>
      <w:numFmt w:val="bullet"/>
      <w:start w:val="1"/>
    </w:lvl>
    <w:lvl w:ilvl="1">
      <w:lvlJc w:val="left"/>
      <w:lvlText w:val="◦"/>
      <w:numFmt w:val="bullet"/>
      <w:start w:val="1"/>
    </w:lvl>
  </w:abstractNum>
  <w:abstractNum w:abstractNumId="17">
    <w:nsid w:val="2D1D5AE9"/>
    <w:multiLevelType w:val="hybridMultilevel"/>
    <w:lvl w:ilvl="0">
      <w:lvlJc w:val="left"/>
      <w:lvlText w:val="•"/>
      <w:numFmt w:val="bullet"/>
      <w:start w:val="1"/>
    </w:lvl>
    <w:lvl w:ilvl="1">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
      <w:numFmt w:val="bullet"/>
      <w:start w:val="1"/>
    </w:lvl>
    <w:lvl w:ilvl="1">
      <w:lvlJc w:val="left"/>
      <w:lvlText w:val="%2"/>
      <w:numFmt w:val="decimal"/>
      <w:start w:val="104"/>
    </w:lvl>
  </w:abstractNum>
  <w:abstractNum w:abstractNumId="24">
    <w:nsid w:val="189A769B"/>
    <w:multiLevelType w:val="hybridMultilevel"/>
    <w:lvl w:ilvl="0">
      <w:lvlJc w:val="left"/>
      <w:lvlText w:val="**"/>
      <w:numFmt w:val="bullet"/>
      <w:start w:val="1"/>
    </w:lvl>
    <w:lvl w:ilvl="1">
      <w:lvlJc w:val="left"/>
      <w:lvlText w:val="%2"/>
      <w:numFmt w:val="decimal"/>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56" Type="http://schemas.openxmlformats.org/officeDocument/2006/relationships/hyperlink" Target="https://www.sec.gov/Archives/edgar/data/1689548/000119312520272877/d94620dex31.htm" TargetMode="External"/><Relationship Id="rId57" Type="http://schemas.openxmlformats.org/officeDocument/2006/relationships/hyperlink" Target="https://www.sec.gov/Archives/edgar/data/1689548/000110465922002260/tm222120d1_ex3-1.htm" TargetMode="External"/><Relationship Id="rId58" Type="http://schemas.openxmlformats.org/officeDocument/2006/relationships/hyperlink" Target="https://www.sec.gov/ix?doc=/Archives/edgar/data/0001689548/000110465924003764/tm243213d1_8k.htm" TargetMode="External"/><Relationship Id="rId59" Type="http://schemas.openxmlformats.org/officeDocument/2006/relationships/hyperlink" Target="https://www.sec.gov/ix?doc=/Archives/edgar/data/0001689548/000110465924041158/tm247764d6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2024-08-13T06:26:16Z</dcterms:created>
  <dcterms:modified xsi:type="dcterms:W3CDTF">2024-08-13T06:26:16Z</dcterms:modified>
</cp:coreProperties>
</file>