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445"/>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20" w:firstLine="44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2025, the registrant had 21,045,781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sections titled "Risk Factors" in our Annual Report on Form 10-K for the year ended December 31, 2024 and this Quarterly Report on Form 10-Q for the quarter ended June 30, 2025. If one or more of these risks or uncertainties occur, or if our underlying assumptions prove to be incorrect, actual events or results may vary significantly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ind w:right="20"/>
        <w:spacing w:after="0" w:line="262" w:lineRule="auto"/>
        <w:rPr>
          <w:sz w:val="20"/>
          <w:szCs w:val="20"/>
          <w:color w:val="auto"/>
        </w:rPr>
      </w:pPr>
      <w:r>
        <w:rPr>
          <w:rFonts w:ascii="Arial" w:cs="Arial" w:eastAsia="Arial" w:hAnsi="Arial"/>
          <w:sz w:val="18"/>
          <w:szCs w:val="18"/>
          <w:color w:val="auto"/>
        </w:rPr>
        <w:t>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2024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19"/>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as of June 30, 2025 and December 31, 2024</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2025</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and 2024</w:t>
            </w:r>
          </w:p>
        </w:tc>
        <w:tc>
          <w:tcPr>
            <w:tcW w:w="75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19"/>
            <w:vMerge w:val="restart"/>
          </w:tcPr>
          <w:p>
            <w:pPr>
              <w:spacing w:after="0"/>
              <w:rPr>
                <w:sz w:val="20"/>
                <w:szCs w:val="20"/>
                <w:color w:val="auto"/>
              </w:rPr>
            </w:pPr>
            <w:r>
              <w:rPr>
                <w:rFonts w:ascii="Arial" w:cs="Arial" w:eastAsia="Arial" w:hAnsi="Arial"/>
                <w:sz w:val="18"/>
                <w:szCs w:val="18"/>
                <w:color w:val="0000FF"/>
              </w:rPr>
              <w:t>Condensed Consolidated Statements of Comprehensive Loss for the Three and Six Months Ended June</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19"/>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30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30, 2025 and 2024</w:t>
            </w:r>
          </w:p>
        </w:tc>
        <w:tc>
          <w:tcPr>
            <w:tcW w:w="2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19"/>
          </w:tcPr>
          <w:p>
            <w:pPr>
              <w:spacing w:after="0" w:line="203" w:lineRule="exact"/>
              <w:rPr>
                <w:sz w:val="20"/>
                <w:szCs w:val="20"/>
                <w:color w:val="auto"/>
              </w:rPr>
            </w:pPr>
            <w:r>
              <w:rPr>
                <w:rFonts w:ascii="Arial" w:cs="Arial" w:eastAsia="Arial" w:hAnsi="Arial"/>
                <w:sz w:val="18"/>
                <w:szCs w:val="18"/>
                <w:color w:val="0000FF"/>
              </w:rPr>
              <w:t>Condensed Consolidated Statements of Stockholders’ Equity for the Three and Six Months Ended June</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5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30, 2025 and 2024</w:t>
            </w:r>
          </w:p>
        </w:tc>
        <w:tc>
          <w:tcPr>
            <w:tcW w:w="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gridSpan w:val="2"/>
          </w:tcPr>
          <w:p>
            <w:pPr>
              <w:spacing w:after="0"/>
              <w:rPr>
                <w:sz w:val="13"/>
                <w:szCs w:val="13"/>
                <w:color w:val="auto"/>
              </w:rPr>
            </w:pPr>
          </w:p>
        </w:tc>
        <w:tc>
          <w:tcPr>
            <w:tcW w:w="19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gridSpan w:val="2"/>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20" w:type="dxa"/>
            <w:vAlign w:val="bottom"/>
            <w:gridSpan w:val="3"/>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824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June 30, 2025 and 2024</w:t>
            </w:r>
          </w:p>
        </w:tc>
        <w:tc>
          <w:tcPr>
            <w:tcW w:w="320" w:type="dxa"/>
            <w:vAlign w:val="bottom"/>
            <w:gridSpan w:val="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760" w:type="dxa"/>
            <w:vAlign w:val="bottom"/>
            <w:gridSpan w:val="5"/>
          </w:tcPr>
          <w:p>
            <w:pPr>
              <w:spacing w:after="0"/>
              <w:rPr>
                <w:sz w:val="18"/>
                <w:szCs w:val="18"/>
                <w:color w:val="auto"/>
              </w:rPr>
            </w:pPr>
          </w:p>
        </w:tc>
        <w:tc>
          <w:tcPr>
            <w:tcW w:w="320" w:type="dxa"/>
            <w:vAlign w:val="bottom"/>
            <w:gridSpan w:val="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8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5"/>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7"/>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2025</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143,860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177,195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306,579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404,372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76,961</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28,832</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48,608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37,660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8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June 30, 2025 and December 31, 2024</w:t>
            </w: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value; 150,000,000 shares authorized; 21,040,474 shares issued and</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outstanding as of June 30, 2025, and 19,422,358 shares issued and outstanding as of December 31, 2024</w:t>
            </w: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1,380,978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1,281,522</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gain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(977,163)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(836,740)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445,450</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25,918</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76,067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80,162</w:t>
            </w: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(150,795)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(79,374)</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(71,127)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(140,423)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21,474,827</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18,824,479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21,266,490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16,364,421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1960" w:type="dxa"/>
            <w:vAlign w:val="bottom"/>
          </w:tcPr>
          <w:p>
            <w:pPr>
              <w:spacing w:after="0"/>
              <w:rPr>
                <w:sz w:val="21"/>
                <w:szCs w:val="21"/>
                <w:color w:val="auto"/>
              </w:rPr>
            </w:pPr>
          </w:p>
        </w:tc>
        <w:tc>
          <w:tcPr>
            <w:tcW w:w="6100" w:type="dxa"/>
            <w:vAlign w:val="bottom"/>
            <w:gridSpan w:val="7"/>
          </w:tcPr>
          <w:p>
            <w:pPr>
              <w:jc w:val="center"/>
              <w:ind w:left="1110"/>
              <w:spacing w:after="0"/>
              <w:rPr>
                <w:sz w:val="20"/>
                <w:szCs w:val="20"/>
                <w:color w:val="auto"/>
              </w:rPr>
            </w:pPr>
            <w:r>
              <w:rPr>
                <w:rFonts w:ascii="Arial" w:cs="Arial" w:eastAsia="Arial" w:hAnsi="Arial"/>
                <w:sz w:val="18"/>
                <w:szCs w:val="18"/>
                <w:b w:val="1"/>
                <w:bCs w:val="1"/>
                <w:color w:val="auto"/>
                <w:w w:val="99"/>
              </w:rPr>
              <w:t>PRAXIS PRECISION MEDICINES, INC.</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77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4920" w:type="dxa"/>
            <w:vAlign w:val="bottom"/>
            <w:gridSpan w:val="5"/>
          </w:tcPr>
          <w:p>
            <w:pPr>
              <w:jc w:val="center"/>
              <w:ind w:left="2270"/>
              <w:spacing w:after="0"/>
              <w:rPr>
                <w:sz w:val="20"/>
                <w:szCs w:val="20"/>
                <w:color w:val="auto"/>
              </w:rPr>
            </w:pPr>
            <w:r>
              <w:rPr>
                <w:rFonts w:ascii="Arial" w:cs="Arial" w:eastAsia="Arial" w:hAnsi="Arial"/>
                <w:sz w:val="18"/>
                <w:szCs w:val="18"/>
                <w:b w:val="1"/>
                <w:bCs w:val="1"/>
                <w:color w:val="auto"/>
              </w:rPr>
              <w:t>(Amounts 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800" w:type="dxa"/>
            <w:vAlign w:val="bottom"/>
            <w:gridSpan w:val="4"/>
          </w:tcPr>
          <w:p>
            <w:pPr>
              <w:jc w:val="right"/>
              <w:ind w:right="699"/>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(72,230)</w:t>
            </w:r>
          </w:p>
        </w:tc>
        <w:tc>
          <w:tcPr>
            <w:tcW w:w="0" w:type="dxa"/>
            <w:vAlign w:val="bottom"/>
          </w:tcPr>
          <w:p>
            <w:pPr>
              <w:spacing w:after="0"/>
              <w:rPr>
                <w:sz w:val="1"/>
                <w:szCs w:val="1"/>
                <w:color w:val="auto"/>
              </w:rPr>
            </w:pPr>
          </w:p>
        </w:tc>
      </w:tr>
      <w:tr>
        <w:trPr>
          <w:trHeight w:val="162"/>
        </w:trPr>
        <w:tc>
          <w:tcPr>
            <w:tcW w:w="502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Change in unrealized (loss) gain on marketable securities, net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of tax</w:t>
            </w: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(140,682)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(72,301)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7"/>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Gain</w:t>
            </w: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19,422,358</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1,281,522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(836,740)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445,450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8,786</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$1,120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694,212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173,840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(18,765)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0" w:type="dxa"/>
            <w:vAlign w:val="bottom"/>
          </w:tcPr>
          <w:p>
            <w:pPr>
              <w:spacing w:after="0"/>
              <w:rPr>
                <w:sz w:val="1"/>
                <w:szCs w:val="1"/>
                <w:color w:val="auto"/>
              </w:rPr>
            </w:pPr>
          </w:p>
        </w:tc>
      </w:tr>
      <w:tr>
        <w:trPr>
          <w:trHeight w:val="174"/>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20,341,917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1,344,577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(906,036)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439,214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7,770</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common stock from at-the-market offerings, net of commission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costs of $579</w:t>
            </w:r>
          </w:p>
        </w:tc>
        <w:tc>
          <w:tcPr>
            <w:tcW w:w="1080" w:type="dxa"/>
            <w:vAlign w:val="bottom"/>
          </w:tcPr>
          <w:p>
            <w:pPr>
              <w:jc w:val="right"/>
              <w:spacing w:after="0"/>
              <w:rPr>
                <w:sz w:val="20"/>
                <w:szCs w:val="20"/>
                <w:color w:val="auto"/>
              </w:rPr>
            </w:pPr>
            <w:r>
              <w:rPr>
                <w:rFonts w:ascii="Arial" w:cs="Arial" w:eastAsia="Arial" w:hAnsi="Arial"/>
                <w:sz w:val="13"/>
                <w:szCs w:val="13"/>
                <w:color w:val="auto"/>
              </w:rPr>
              <w:t>657,477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28,360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28,360</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tcPr>
          <w:p>
            <w:pPr>
              <w:jc w:val="right"/>
              <w:spacing w:after="0"/>
              <w:rPr>
                <w:sz w:val="20"/>
                <w:szCs w:val="20"/>
                <w:color w:val="auto"/>
              </w:rPr>
            </w:pPr>
            <w:r>
              <w:rPr>
                <w:rFonts w:ascii="Arial" w:cs="Arial" w:eastAsia="Arial" w:hAnsi="Arial"/>
                <w:sz w:val="13"/>
                <w:szCs w:val="13"/>
                <w:color w:val="auto"/>
              </w:rPr>
              <w:t>9,319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(71,127)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(71,127)</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21,040,474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1,380,978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(977,163)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404,224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7"/>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Gain (Loss)</w:t>
            </w:r>
          </w:p>
        </w:tc>
        <w:tc>
          <w:tcPr>
            <w:tcW w:w="12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8,791,877</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723,577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69,669</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$10,836</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and commission costs of $376</w:t>
            </w:r>
          </w:p>
        </w:tc>
        <w:tc>
          <w:tcPr>
            <w:tcW w:w="1080" w:type="dxa"/>
            <w:vAlign w:val="bottom"/>
          </w:tcPr>
          <w:p>
            <w:pPr>
              <w:jc w:val="right"/>
              <w:spacing w:after="0"/>
              <w:rPr>
                <w:sz w:val="20"/>
                <w:szCs w:val="20"/>
                <w:color w:val="auto"/>
              </w:rPr>
            </w:pPr>
            <w:r>
              <w:rPr>
                <w:rFonts w:ascii="Arial" w:cs="Arial" w:eastAsia="Arial" w:hAnsi="Arial"/>
                <w:sz w:val="13"/>
                <w:szCs w:val="13"/>
                <w:color w:val="auto"/>
              </w:rPr>
              <w:t>209,852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6,169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a collaboration and license agreement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3,634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$14,013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3,849,558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215,988</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622,123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17,755,506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1,145,308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(726,151)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419,100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688975</wp:posOffset>
            </wp:positionV>
            <wp:extent cx="4397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(140,423)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(72,230)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20,353</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(48,135)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(290,142)</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(287,142)</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377,744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14,765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399,120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63,843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145,559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145,143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145,559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 included in accrued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Issuance costs from at-the-market offering included in accounts payable and accrued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costs from follow-on offering included in 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left="360" w:right="266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29" w:lineRule="exact"/>
        <w:rPr>
          <w:sz w:val="20"/>
          <w:szCs w:val="20"/>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98"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epilepsy and movement disorders.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at-the-market offerings under its shelf registration statement, and follow-on public offerings of common stock and pre-funded warrants to purchase common stock. From inception through June 30, 2025, the Company raised $1.2 billion in aggregate cash proceeds from these transactions, net of issuance costs.</w:t>
      </w:r>
    </w:p>
    <w:p>
      <w:pPr>
        <w:spacing w:after="0" w:line="179" w:lineRule="exact"/>
        <w:rPr>
          <w:sz w:val="20"/>
          <w:szCs w:val="20"/>
          <w:color w:val="auto"/>
        </w:rPr>
      </w:pPr>
    </w:p>
    <w:p>
      <w:pPr>
        <w:ind w:right="220" w:firstLine="445"/>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$140.4 million for the six months ended June 30, 2025. In addition, as of June 30, 2025, the Company had an accumulated deficit of $977.2 million. The Company expects to continue to generate operating losses for the foreseeable future.</w:t>
      </w:r>
    </w:p>
    <w:p>
      <w:pPr>
        <w:spacing w:after="0" w:line="171"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The Company expects that its cash, cash equivalents and marketable securities as of June 30, 2025 of $446.6 million will be sufficient to fund its operating expenditures and capital expenditure requirements necessary to</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ind w:right="20"/>
        <w:spacing w:after="0" w:line="259" w:lineRule="auto"/>
        <w:rPr>
          <w:sz w:val="20"/>
          <w:szCs w:val="20"/>
          <w:color w:val="auto"/>
        </w:rPr>
      </w:pPr>
      <w:r>
        <w:rPr>
          <w:rFonts w:ascii="Arial" w:cs="Arial" w:eastAsia="Arial" w:hAnsi="Arial"/>
          <w:sz w:val="18"/>
          <w:szCs w:val="18"/>
          <w:color w:val="auto"/>
        </w:rPr>
        <w:t>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7" w:lineRule="exact"/>
        <w:rPr>
          <w:sz w:val="20"/>
          <w:szCs w:val="20"/>
          <w:color w:val="auto"/>
        </w:rPr>
      </w:pPr>
    </w:p>
    <w:p>
      <w:pPr>
        <w:ind w:right="722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ind w:right="46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2025 are consistent with those discussed in Note 2 to the consolidated financial statements included in the Company's 2024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June 30, 2025, the condensed consolidated statements of operations for the three and six months ended June 30, 2025 and 2024, the condensed consolidated statements of comprehensive loss for the three and six months ended June 30, 2025 and 2024, the condensed consolidated statements of cash flows for the six months ended June 30, 2025 and 2024 and the condensed consolidated statements of stockholders’ equity for the three and six months ended June 30, 2025 and 2024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2025, the results of its operations for the three and six months ended June 30, 2025 and 2024 and its cash flows for the six months ended June 30, 2025 and 2024. Financial statement disclosures for the three and six months ended June 30, 2025 and 2024 are condensed and do not include all disclosures required for an annual set of financial statements in accordance with GAAP.</w:t>
      </w:r>
    </w:p>
    <w:p>
      <w:pPr>
        <w:spacing w:after="0" w:line="185"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results for the three and six months ended June 30, 2025 are not necessarily indicative of results to be expected for the year ended December 31, 2025,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Tax Legislation</w:t>
      </w:r>
    </w:p>
    <w:p>
      <w:pPr>
        <w:spacing w:after="0" w:line="115"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The One Big Beautiful Bill Act (“OBBBA”) was enacted in the U.S. on July 4, 2025. The OBBBA legislation provides for the permanent extension of certain expiring provisions of the Tax Cuts and Jobs Act, revisions to the international tax framework and the reinstatement of favorable tax treatment for certain business provisions. The legislation has multiple effective dates, with certain provisions effective in 2025 and others implemented in future periods.</w:t>
      </w:r>
    </w:p>
    <w:p>
      <w:pPr>
        <w:spacing w:after="0" w:line="176"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Company maintains a full valuation allowance against its U.S. federal and state deferred tax assets. As such, it does not anticipate the OBBBA will have a material impact on its income tax provision in the near term.</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8"/>
          <w:szCs w:val="18"/>
          <w:color w:val="auto"/>
        </w:rPr>
        <w:t>However, the Company is currently evaluating the legislation’s potential impact on its tax attributes, including net operating loss carryforwards and tax credits, and on its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ASU No. 2023-09 provides more transparency about income tax information through improvements to income tax disclosures primarily related to the rate reconciliation and income taxes paid information. For public companies, the amendments are effective for annual periods beginning after December 15, 2024 and can be applied prospectively or retrospectively. The Company has determined that the effects of adopting the amendments in ASU 2023-09 will only impact its disclosures and will not have a material impact on its consolidated financial position and the results of its operations when such amendment is adopted.</w:t>
      </w:r>
    </w:p>
    <w:p>
      <w:pPr>
        <w:spacing w:after="0" w:line="18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In November 2023, the FASB issued ASU No.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requiring public entities to disclose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adopting ASU 2024-03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June 30, 2025 and December 31,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As of June 30, 2025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86,354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86,354</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101,112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100,928</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7,888</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79,301</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375,188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375,583</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107,852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8,820</w:t>
            </w:r>
          </w:p>
        </w:tc>
      </w:tr>
      <w:tr>
        <w:trPr>
          <w:trHeight w:val="23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As of June 30, 2025, the Company had 21 securities with a total fair market value of $72.0 million in an unrealized loss position. The Company believes that any unrealized losses associated with the decline in value of</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3" w:name="page14"/>
    <w:bookmarkEnd w:id="13"/>
    <w:p>
      <w:pPr>
        <w:ind w:right="160"/>
        <w:spacing w:after="0" w:line="268" w:lineRule="auto"/>
        <w:rPr>
          <w:sz w:val="20"/>
          <w:szCs w:val="20"/>
          <w:color w:val="auto"/>
        </w:rPr>
      </w:pPr>
      <w:r>
        <w:rPr>
          <w:rFonts w:ascii="Arial" w:cs="Arial" w:eastAsia="Arial" w:hAnsi="Arial"/>
          <w:sz w:val="18"/>
          <w:szCs w:val="18"/>
          <w:color w:val="auto"/>
        </w:rPr>
        <w:t>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2025</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177,195</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145,369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76,961</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six months ended June 30, 2025 and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71"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June 30, 2025 and December 31, 2024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As of June 30, 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86,354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86,354</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101,112</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100,928</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7,888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7,888</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79,301</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187,466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188,117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375,583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144,644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8,794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273,296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125,467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398,763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2025</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13,363</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9,365</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19,021</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23,763</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prepaid expenses and other current assets and other non-current assets on the accompanying condensed consolidated balance sheets as of June 30, 2025 and December 31, 2024, respectively. This lease qualifies as an operating lease.</w:t>
      </w:r>
    </w:p>
    <w:p>
      <w:pPr>
        <w:spacing w:after="0" w:line="287" w:lineRule="exact"/>
        <w:rPr>
          <w:sz w:val="20"/>
          <w:szCs w:val="20"/>
          <w:color w:val="auto"/>
        </w:rPr>
      </w:pPr>
    </w:p>
    <w:p>
      <w:pPr>
        <w:ind w:right="7700" w:firstLine="8"/>
        <w:spacing w:after="0" w:line="397" w:lineRule="auto"/>
        <w:tabs>
          <w:tab w:leader="none" w:pos="2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was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76"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The Company recognized revenue for its research services performance obligation over time using an input method over the duration of the research services. In December 2024, UCB exercised its option to in-license global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5" w:name="page16"/>
    <w:bookmarkEnd w:id="15"/>
    <w:p>
      <w:pPr>
        <w:ind w:right="220"/>
        <w:spacing w:after="0" w:line="262" w:lineRule="auto"/>
        <w:rPr>
          <w:sz w:val="20"/>
          <w:szCs w:val="20"/>
          <w:color w:val="auto"/>
        </w:rPr>
      </w:pPr>
      <w:r>
        <w:rPr>
          <w:rFonts w:ascii="Arial" w:cs="Arial" w:eastAsia="Arial" w:hAnsi="Arial"/>
          <w:sz w:val="18"/>
          <w:szCs w:val="18"/>
          <w:color w:val="auto"/>
        </w:rPr>
        <w:t>development and commercialization rights for a KCNT1 development candidate as part of the Collaboration Agreement. Upon notice of the exercise, the Company recognized the $ 6.0 million option exercise fee and the $2.6 million of remaining collaboration revenue associated with the $ 5.0 million up front payment as collaboration revenue within the December 31, 2024 consolidated statement of operations, as the Company had no further research service obligations under the terms of the Collaboration Agreement.</w:t>
      </w:r>
    </w:p>
    <w:p>
      <w:pPr>
        <w:spacing w:after="0" w:line="17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Company did not recognize any collaboration revenue associated with this Collaboration Agreement during the three and six months ended June 30, 2025. As of June 30, 2025, there was no deferred revenue recorded in the condensed consolidated balance sheet. During the three and six months ended June 30, 2024, the Company recognized $0.4 million and $0.8 million, respectively, related to the Collaboration Agreement in the condensed consolidated statement of operations. As of December 31, 2024, there was no deferred revenue recorded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18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176"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17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License Agreement, both of which were received in January 2024. During the three and six months ended June 30, 2025 and 2024, the Company did not achieve any development or sales milestones or earn any royalties under the License Agreement.</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collaboration and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ind w:right="60" w:firstLine="445"/>
        <w:spacing w:after="0" w:line="262" w:lineRule="auto"/>
        <w:rPr>
          <w:sz w:val="20"/>
          <w:szCs w:val="20"/>
          <w:color w:val="auto"/>
        </w:rPr>
      </w:pPr>
      <w:r>
        <w:rPr>
          <w:rFonts w:ascii="Arial" w:cs="Arial" w:eastAsia="Arial" w:hAnsi="Arial"/>
          <w:sz w:val="18"/>
          <w:szCs w:val="18"/>
          <w:color w:val="auto"/>
        </w:rPr>
        <w:t>As of June 30, 2025 and December 31, 2024, the Company did not have any receivables or deferred revenue related to the arrangement with Tenacia. The Company did not recognize any contract assets related to costs to obtain a contract with a customer or costs to fulfill a contract with a customer through June 30, 2025 because no qualifying costs were incurred. During the three and six months ended June 30, 2025 and 2024, the Company did not recognize any revenue associated with the combined arrangement.</w:t>
      </w:r>
    </w:p>
    <w:p>
      <w:pPr>
        <w:spacing w:after="0" w:line="284" w:lineRule="exact"/>
        <w:rPr>
          <w:sz w:val="20"/>
          <w:szCs w:val="20"/>
          <w:color w:val="auto"/>
        </w:rPr>
      </w:pPr>
    </w:p>
    <w:p>
      <w:pPr>
        <w:ind w:right="796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As of June 30, 2025 and December 31, 2024,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2025 and December 31, 2024,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16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year ended December 31, 2024, 152,145 pre-funded warrants were exercised via a cashless exercise, resulting in 152,142 shares of common stock issued. No cash proceeds associated with the exercise were received by the Company.</w:t>
      </w:r>
    </w:p>
    <w:p>
      <w:pPr>
        <w:spacing w:after="0" w:line="185"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During the six months ended June 30, 2025, 200,355 pre-funded warrants were exercised via cashless exercise, resulting in 200,349 shares of common stock issued. No cash proceeds associated with the exercise were received by the Company. As of June 30, 2025, a total of 704,225 pre-funded warrants associated with this offering remained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2024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18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t>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June 30, 2025, none of the pre-funded warrants have been exercised and all remained outstanding.</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 xml:space="preserve">The Company determined that the pre-funded warrants related to the January 2024 and April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2,102,627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704,225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904,580</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442,049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91,343</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294,552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109,648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tcPr>
          <w:p>
            <w:pPr>
              <w:jc w:val="right"/>
              <w:spacing w:after="0"/>
              <w:rPr>
                <w:sz w:val="20"/>
                <w:szCs w:val="20"/>
                <w:color w:val="auto"/>
              </w:rPr>
            </w:pPr>
            <w:r>
              <w:rPr>
                <w:rFonts w:ascii="Arial" w:cs="Arial" w:eastAsia="Arial" w:hAnsi="Arial"/>
                <w:sz w:val="16"/>
                <w:szCs w:val="16"/>
                <w:color w:val="auto"/>
              </w:rPr>
              <w:t>962,101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112,774</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515,596</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r>
      <w:tr>
        <w:trPr>
          <w:trHeight w:val="210"/>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5,242,388</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3,473,399</w:t>
            </w:r>
          </w:p>
        </w:tc>
      </w:tr>
      <w:tr>
        <w:trPr>
          <w:trHeight w:val="20"/>
        </w:trPr>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As of June 30, 2025 and December 31, 2024, the authorized capital stock of the Company included 10,000,000 shares of undesignated preferred stock, $0.0001 par value.</w:t>
      </w:r>
    </w:p>
    <w:p>
      <w:pPr>
        <w:spacing w:after="0" w:line="261" w:lineRule="exact"/>
        <w:rPr>
          <w:sz w:val="20"/>
          <w:szCs w:val="20"/>
          <w:color w:val="auto"/>
        </w:rPr>
      </w:pPr>
    </w:p>
    <w:p>
      <w:pPr>
        <w:ind w:right="8640" w:firstLine="8"/>
        <w:spacing w:after="0" w:line="375"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2024 Inducement Plan</w:t>
      </w:r>
    </w:p>
    <w:p>
      <w:pPr>
        <w:spacing w:after="0" w:line="1"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In January 2025, the number of shares of common stock authorized for issuance under the Inducement Plan was increased by 870,000 shares. The total number of shares of common stock authorized for issuance under the Inducement Plan as of June 30, 2025 and December 31, 2024 was 1,000,000 shares and 130,000 shares,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June 30, 2025 and December 31, 2024 was 2,941,950 shares and 1,970,833 shares,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June 30, 2025 and December 31, 2024 was 395,850 shares. Any authorization to issue new options under the 2017 Plan was cancelled upon the effectiveness of the 2020 Plan and no further awards will be granted under the 2017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June 30, 2025 and December 31, 2024 was 369,368 shares and 175,145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372,668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62.05</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June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515,596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As of June 30, 2025, total unrecognized compensation cost related to unvested restricted stock units was $27.2 million, which is expected to be recognized over a weighted-average period of 3.28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324,670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June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2,102,627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June 30,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7.42</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1,132,791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111.08</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June 30, 2025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2,102,627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5"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six months ended June 30, 2025: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June 30,</w:t>
            </w:r>
          </w:p>
        </w:tc>
        <w:tc>
          <w:tcPr>
            <w:tcW w:w="120" w:type="dxa"/>
            <w:vAlign w:val="bottom"/>
          </w:tcPr>
          <w:p>
            <w:pPr>
              <w:spacing w:after="0"/>
              <w:rPr>
                <w:sz w:val="18"/>
                <w:szCs w:val="18"/>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June 30,</w:t>
            </w:r>
          </w:p>
        </w:tc>
      </w:tr>
      <w:tr>
        <w:trPr>
          <w:trHeight w:val="209"/>
        </w:trPr>
        <w:tc>
          <w:tcPr>
            <w:tcW w:w="78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4.45 %</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93.08 %</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46.74</w:t>
            </w:r>
          </w:p>
        </w:tc>
      </w:tr>
    </w:tbl>
    <w:p>
      <w:pPr>
        <w:spacing w:after="0" w:line="292"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As of June 30, 2025, total unrecognized compensation cost related to unvested stock options was $41.8 million, which is expected to be recognized over a weighted-average period of 2.40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w:t>
            </w: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12,695</w:t>
            </w:r>
          </w:p>
        </w:tc>
      </w:tr>
      <w:tr>
        <w:trPr>
          <w:trHeight w:val="23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2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2,102,627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1,134,459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2,102,627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1,134,459</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515,596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101,462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515,596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101,462</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7,395</w:t>
            </w:r>
          </w:p>
        </w:tc>
      </w:tr>
      <w:tr>
        <w:trPr>
          <w:trHeight w:val="209"/>
        </w:trPr>
        <w:tc>
          <w:tcPr>
            <w:tcW w:w="48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2,634,163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1,243,316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2,634,163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1,243,316</w:t>
            </w:r>
          </w:p>
        </w:tc>
      </w:tr>
      <w:tr>
        <w:trPr>
          <w:trHeight w:val="21"/>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January 2024 and April 2024 underwritten public offerings are included in the calculation of basic weighted average number of common shares outstanding for the three and six months ended June 30,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activities performed under the License Agreement. Expenses incurred during all periods presented were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1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 allocating resources based on net loss that also is reported on the condensed consolidated statement of operations as consolidated net loss. Net loss is used by the CODM to make key strategic and operational decisions. The operating segment's revenue is derived from a single domestic collaboration agreement from which the segment licenses certain development or product candidates and has performed research and development services. The measure of segment assets is reported on the condensed consolidated balance sheet as total consolidated assets. The majority of the Company's long-lived assets are held in the United States.</w:t>
      </w:r>
    </w:p>
    <w:p>
      <w:pPr>
        <w:spacing w:after="0" w:line="185"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The following table presents selected financial information about the Company's single operating segment for the three and six months ended June 30, 2025 and 2024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Program-specific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Ulixacaltamide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23,184</w:t>
            </w:r>
          </w:p>
        </w:tc>
      </w:tr>
      <w:tr>
        <w:trPr>
          <w:trHeight w:val="215"/>
        </w:trPr>
        <w:tc>
          <w:tcPr>
            <w:tcW w:w="4840" w:type="dxa"/>
            <w:vAlign w:val="bottom"/>
          </w:tcPr>
          <w:p>
            <w:pPr>
              <w:ind w:left="460"/>
              <w:spacing w:after="0"/>
              <w:rPr>
                <w:sz w:val="20"/>
                <w:szCs w:val="20"/>
                <w:color w:val="auto"/>
              </w:rPr>
            </w:pPr>
            <w:r>
              <w:rPr>
                <w:rFonts w:ascii="Arial" w:cs="Arial" w:eastAsia="Arial" w:hAnsi="Arial"/>
                <w:sz w:val="16"/>
                <w:szCs w:val="16"/>
                <w:color w:val="auto"/>
              </w:rPr>
              <w:t>Vormatrigine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2,592</w:t>
            </w:r>
          </w:p>
        </w:tc>
      </w:tr>
      <w:tr>
        <w:trPr>
          <w:trHeight w:val="217"/>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Relutrigine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r>
      <w:tr>
        <w:trPr>
          <w:trHeight w:val="215"/>
        </w:trPr>
        <w:tc>
          <w:tcPr>
            <w:tcW w:w="4840" w:type="dxa"/>
            <w:vAlign w:val="bottom"/>
          </w:tcPr>
          <w:p>
            <w:pPr>
              <w:ind w:left="460"/>
              <w:spacing w:after="0"/>
              <w:rPr>
                <w:sz w:val="20"/>
                <w:szCs w:val="20"/>
                <w:color w:val="auto"/>
              </w:rPr>
            </w:pPr>
            <w:r>
              <w:rPr>
                <w:rFonts w:ascii="Arial" w:cs="Arial" w:eastAsia="Arial" w:hAnsi="Arial"/>
                <w:sz w:val="16"/>
                <w:szCs w:val="16"/>
                <w:color w:val="auto"/>
              </w:rPr>
              <w:t>Elsunersen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217"/>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early stage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Personnel-related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18,110</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20,354</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7"/>
        </w:trPr>
        <w:tc>
          <w:tcPr>
            <w:tcW w:w="48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bscript"/>
              </w:rPr>
              <w:t>(a)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10,183</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(71,127)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(140,423)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(72,230)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Other segment expenses includes research and development and general and administrative costs not attributable to a specific program.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7" w:lineRule="exact"/>
        <w:rPr>
          <w:sz w:val="20"/>
          <w:szCs w:val="20"/>
          <w:color w:val="auto"/>
        </w:rPr>
      </w:pPr>
    </w:p>
    <w:p>
      <w:pPr>
        <w:ind w:right="320" w:firstLine="445"/>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28, 2025.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2024 and in the "Risk Factors" section of this Quarterly Report on Form 10-Q for the quarter ended June 30, 2025,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28" w:lineRule="exact"/>
        <w:rPr>
          <w:sz w:val="20"/>
          <w:szCs w:val="20"/>
          <w:color w:val="auto"/>
        </w:rPr>
      </w:pPr>
    </w:p>
    <w:p>
      <w:pPr>
        <w:ind w:left="660" w:right="10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98"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right="440" w:firstLine="445"/>
        <w:spacing w:after="0" w:line="26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epilepsy and movement disorders.</w:t>
      </w:r>
    </w:p>
    <w:p>
      <w:pPr>
        <w:spacing w:after="0" w:line="17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For our vormatrigine program (formerly known as PRAX-628) within the Cerebrum™ platform, we announced positive results from our Photo-Paroxysmal Response, or PPR, study in the first quarter of 2024, and initiated the ENERGY program to generate patient eligibility, efficacy, safety and pharmacokinetics (PK) data. The ENERGY program includes five studies: EMPOWER, RADIANT, POWER1, POWER2 and POWER3. We initiated the EMPOWER study, an observational study of vormatrigine in patients with epilepsy, in the third quarter of 2024. In August 2025, we announced positive topline results from our first efficacy study, RADIANT, an open label study in patients with focal onset seizures or generalized epilepsy. We are currently enrolling the POWER1 study, a double-blind, placebo-controlled, 12-week study in focal onset seizures, and expect to finalize the study in the fourth quarter of 2025. POWER2, our third efficacy study, is planned to begin in the third quarter of 2025, with enrollment expected to be completed in the second half of 2026. We intend to initiate POWER3, a clinical trial which will assess vormatrigine as a single-agent treatment for focal onset seizures, in the first half of 2026.</w:t>
      </w:r>
    </w:p>
    <w:p>
      <w:pPr>
        <w:spacing w:after="0" w:line="181" w:lineRule="exact"/>
        <w:rPr>
          <w:sz w:val="20"/>
          <w:szCs w:val="20"/>
          <w:color w:val="auto"/>
        </w:rPr>
      </w:pPr>
    </w:p>
    <w:p>
      <w:pPr>
        <w:jc w:val="both"/>
        <w:ind w:right="40" w:firstLine="445"/>
        <w:spacing w:after="0" w:line="257" w:lineRule="auto"/>
        <w:rPr>
          <w:sz w:val="20"/>
          <w:szCs w:val="20"/>
          <w:color w:val="auto"/>
        </w:rPr>
      </w:pPr>
      <w:r>
        <w:rPr>
          <w:rFonts w:ascii="Arial" w:cs="Arial" w:eastAsia="Arial" w:hAnsi="Arial"/>
          <w:sz w:val="18"/>
          <w:szCs w:val="18"/>
          <w:color w:val="auto"/>
        </w:rPr>
        <w:t>For our relutrigine program (formerly known as PRAX-562), we announced positive topline results from the first cohort of our EMBOLD study in the third quarter of 2024, and disclosed updated data from the study's open-label extension through 11 months in May 2025. We are enrolling the second cohort of the EMBOLD study, with topline results expected no later than the first half of 2026. In July 2025, the U.S.</w:t>
      </w:r>
    </w:p>
    <w:p>
      <w:pPr>
        <w:spacing w:after="0" w:line="1"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Food and Drug Administration granted breakthrough therapy designation for relutrigine for the treatment of seizures associated with SCN2A and SCN8A developmental and epileptic encephalopathies, or DEEs. We have also initiated the EMERALD study in a broader DEE patient population, and expect to complete enrollment in 2026.</w:t>
      </w:r>
    </w:p>
    <w:p>
      <w:pPr>
        <w:spacing w:after="0" w:line="178"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For our ulixacaltamide program, we shared the results of a pre-planned statistic interim analysis of Study 1 of our Phase 3 Essential 3 clinical program for essential tremor in February 2025. We are making certain adjustments to the analysis of the Essential3 program based upon review of blinded data, and expect to conduct and disclose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22" w:name="page23"/>
    <w:bookmarkEnd w:id="22"/>
    <w:p>
      <w:pPr>
        <w:ind w:right="280"/>
        <w:spacing w:after="0" w:line="287" w:lineRule="auto"/>
        <w:rPr>
          <w:sz w:val="20"/>
          <w:szCs w:val="20"/>
          <w:color w:val="auto"/>
        </w:rPr>
      </w:pPr>
      <w:r>
        <w:rPr>
          <w:rFonts w:ascii="Arial" w:cs="Arial" w:eastAsia="Arial" w:hAnsi="Arial"/>
          <w:sz w:val="18"/>
          <w:szCs w:val="18"/>
          <w:color w:val="auto"/>
        </w:rPr>
        <w:t>the results of such analysis by early-fall 2025. The decision about whether the data supports the submission of an NDA will be made after analyzing the final results for Study 1 and Study 2.</w:t>
      </w:r>
    </w:p>
    <w:p>
      <w:pPr>
        <w:spacing w:after="0" w:line="153"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For our most advanced product candidate under the Solidus™ platform, elsunersen (formerly known as PRAX-222), we shared results from Part 1 of the EMBRAVE study in the fourth quarter of 2023. We are currently enrolling the second cohort of the EMBRAVE study in Brazil, with topline results expected in the first half of 2026, and have initiated EMBRAVE3, a Phase 3 registrational study for SCN2A gain-of-function DEE.</w:t>
      </w:r>
    </w:p>
    <w:p>
      <w:pPr>
        <w:spacing w:after="0" w:line="176"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also have three earlier stage novel ASOs with preclinical proof of mechanism. PRAX-080 is focused on PCDH19 mosaic expression, PRAX-090 is targeting SYNGAP1 loss-of-function, or LoF, mutations which is a leading cause of severe intellectual disability and epilepsy in DEEs, and PRAX-100 is targeting SCN2A LoF mutations, the predominant generic link to de novo autism spectrum disorders, or ASD. We anticipate nominating a development candidate for PRAX-100 by mid- 2025, and development candidates for PRAX-080 and PRAX-090 by the end of 2025.</w:t>
      </w:r>
    </w:p>
    <w:p>
      <w:pPr>
        <w:spacing w:after="0" w:line="17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$140.4 million for the six months ended June 30, 2025. As of June 30, 2025, we had an accumulated deficit of $977.2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vormatrigine (formerly PRAX-628) in the ENERGY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relutrigine (formally PRAX-562) in the EMBOLD and EMERALD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elsunersen (formerly PRAX-222) in the EMBRAVE and EMBRAVE3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ulixacaltamide through the Phase 3 Essential3 clinical trial program for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w:t>
      </w:r>
    </w:p>
    <w:p>
      <w:pPr>
        <w:sectPr>
          <w:pgSz w:w="11900" w:h="16838" w:orient="portrait"/>
          <w:cols w:equalWidth="0" w:num="1">
            <w:col w:w="11200"/>
          </w:cols>
          <w:pgMar w:left="320" w:top="1106" w:right="3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bookmarkStart w:id="23" w:name="page24"/>
    <w:bookmarkEnd w:id="23"/>
    <w:p>
      <w:pPr>
        <w:ind w:right="80"/>
        <w:spacing w:after="0" w:line="259" w:lineRule="auto"/>
        <w:rPr>
          <w:sz w:val="20"/>
          <w:szCs w:val="20"/>
          <w:color w:val="auto"/>
        </w:rPr>
      </w:pPr>
      <w:r>
        <w:rPr>
          <w:rFonts w:ascii="Arial" w:cs="Arial" w:eastAsia="Arial" w:hAnsi="Arial"/>
          <w:sz w:val="18"/>
          <w:szCs w:val="18"/>
          <w:color w:val="auto"/>
        </w:rPr>
        <w:t>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As of June 30, 2025, we had cash, cash equivalents and marketable securities of $446.6 million. We expect that our cash, cash equivalents, and marketable securities as of June 30, 2025 will be sufficient to fund our operating expenditures and capital expenditure requirements necessary to advance our research efforts and clinical trials into 2028. The analysis included consideration of our current financial needs and ongoing research and development plans. We have based this estimate on assumptions that may provide to be wrong, and we could exhaust our available capital resources sooner than we expect. See “—Liquidity and Capital Resources.”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During the three and six months ended June 30, 2024, we recognized $0.4 million and $0.8 million of collaboration revenue, respectively. In December 2024, UCB exercised its option to in-license global development and commercialization rights under the terms of the Collaboration Agreement. Accordingly, we did not recognize any collaboration revenue from the Collaboration Agreement during the three and six months ended June 30, 2025. We have no further research service obligations under the terms of the Collaboration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20" w:hanging="128"/>
        <w:spacing w:after="0" w:line="438"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ectPr>
          <w:pgSz w:w="11900" w:h="16838" w:orient="portrait"/>
          <w:cols w:equalWidth="0" w:num="1">
            <w:col w:w="11200"/>
          </w:cols>
          <w:pgMar w:left="320" w:top="1106" w:right="3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bookmarkStart w:id="24" w:name="page25"/>
    <w:bookmarkEnd w:id="24"/>
    <w:p>
      <w:pPr>
        <w:ind w:right="120" w:firstLine="445"/>
        <w:spacing w:after="0" w:line="256"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8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46,977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2,870</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11,459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19,402</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63,006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54,244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ind w:left="660" w:right="2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90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six months ended June 30, 2025 and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2025 and 2024</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26" w:name="page27"/>
    <w:bookmarkEnd w:id="26"/>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35,746</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76,067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38,222</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(38,579)</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(71,127)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The $ 0.4 million decrease in collaboration revenue is associated with a decrease in the revenue recorded under the Collaboration Agreement with UCB that was executed in December 2022. In December 2024, UCB exercised its option to in-license global development and commercialization rights for a development candidate as part of the Collaboration Agreement. As such, we have no further research service obligations under the terms of the Collaboration Agreement and did not record any associated revenue during the three months ended June 30,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32,010</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$35.7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$32.0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18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$15.9 million increase in spend for our vormatrigine program, primarily driven by spend related to Radiant and POWER1, as well as phase 1 study spend;</w:t>
      </w:r>
    </w:p>
    <w:p>
      <w:pPr>
        <w:spacing w:after="0" w:line="98" w:lineRule="exact"/>
        <w:rPr>
          <w:rFonts w:ascii="Arial" w:cs="Arial" w:eastAsia="Arial" w:hAnsi="Arial"/>
          <w:sz w:val="18"/>
          <w:szCs w:val="18"/>
          <w:color w:val="auto"/>
        </w:rPr>
      </w:pPr>
    </w:p>
    <w:p>
      <w:pPr>
        <w:ind w:left="1300" w:right="68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$9.1 million increase in spend for our relutrigine program, primarily related to spend for our EMBOLD study, startup expense for our EMERALD study, phase 1 study spend and current quarter manufacturing spend;</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$6.4 million increase in spend for our ulixacaltamide program, primarily due to Essential3 study spend;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$0.6 million increase in activities for our earlier stage assets as we advance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 million increase in personnel-related costs due to increased headcount;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$0.4 million increase in indirect expenses, none of which were individually significant;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$0.3 million increase in expense related to our Solidus™ platform, primarily elsunersen program spend.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$2.5 million increase in general and administrative expenses was primarily attributable to the following:</w:t>
      </w:r>
    </w:p>
    <w:p>
      <w:pPr>
        <w:spacing w:after="0" w:line="171" w:lineRule="exact"/>
        <w:rPr>
          <w:sz w:val="20"/>
          <w:szCs w:val="20"/>
          <w:color w:val="auto"/>
        </w:rPr>
      </w:pPr>
    </w:p>
    <w:p>
      <w:pPr>
        <w:ind w:left="660" w:right="60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 million increase in indirect expenses, primarily software to support operations and increased sponsorships and advocacy activities;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increase in personnel-related costs due to increased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$0.4 million increase in professional expenses primarily related to audit fees.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Other income for the three months ended June 30, 2025 and 2024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2025 and 2024</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69,568</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70,633</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(150,795)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(71,421)</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(140,423)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(68,193)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$ 0.8 million decrease in collaboration revenue is associated with a decrease in the revenue recorded under the Collaboration Agreement with UCB that was executed in December 2022. In December 2024, UCB exercised its option to in-license global development and commercialization rights for a development candidate as part of the Collaboration Agreement. As such, we have no further research service obligations under the terms of the Collaboration Agreement and did not record any associated revenue during the six months ended June 30,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62,057</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123,812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54,244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69,568</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$69.6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$62.1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18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$29.0 million increase in spend for our vormatrigine program, driven primarily by spend related to Radiant and POWER1, as well as phase 1 study spend;</w:t>
      </w:r>
    </w:p>
    <w:p>
      <w:pPr>
        <w:spacing w:after="0" w:line="98" w:lineRule="exact"/>
        <w:rPr>
          <w:rFonts w:ascii="Arial" w:cs="Arial" w:eastAsia="Arial" w:hAnsi="Arial"/>
          <w:sz w:val="18"/>
          <w:szCs w:val="18"/>
          <w:color w:val="auto"/>
        </w:rPr>
      </w:pPr>
    </w:p>
    <w:p>
      <w:pPr>
        <w:ind w:left="1300" w:right="14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$18.7 million increase in spend for our ulixacaltamide program, primarily due to increased Essential3 activity compared to prior year;</w:t>
      </w:r>
    </w:p>
    <w:p>
      <w:pPr>
        <w:spacing w:after="0" w:line="98" w:lineRule="exact"/>
        <w:rPr>
          <w:rFonts w:ascii="Arial" w:cs="Arial" w:eastAsia="Arial" w:hAnsi="Arial"/>
          <w:sz w:val="18"/>
          <w:szCs w:val="18"/>
          <w:color w:val="auto"/>
        </w:rPr>
      </w:pPr>
    </w:p>
    <w:p>
      <w:pPr>
        <w:ind w:left="1300" w:right="8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$13.5 million increase in spend for our relutrigine program, primarily spend for our EMBOLD study, startup expense for our EMERALD study, manufacturing spend and phase 1 study spend; and</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$0.9 million increase in activities for our earlier stage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$4.9 million increase in personnel-related costs due to increased headcount;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 million increase in indirect expenses driven primarily by software and consulting spend to support operations; and</w:t>
      </w:r>
    </w:p>
    <w:p>
      <w:pPr>
        <w:spacing w:after="0" w:line="17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 million increase in expense related to our Solidus™ platform, primarily elsunersen program spend for our EMBRAVE study and EMBRAVE3 startup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$1.1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$1.6 million increase in professional expenses primarily related to consulting, legal and audit expenses;</w:t>
      </w:r>
    </w:p>
    <w:p>
      <w:pPr>
        <w:spacing w:after="0" w:line="171"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 million increase in indirect expenses, primarily software to support operations and increased sponsorships and advocacy activities;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million decrease in personnel-related costs mainly due to decreased stock-based compensation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Other income for the six months ended June 30, 2025 and 2024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71"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w:t>
      </w: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29" w:name="page30"/>
    <w:bookmarkEnd w:id="29"/>
    <w:p>
      <w:pPr>
        <w:ind w:right="720"/>
        <w:spacing w:after="0" w:line="287" w:lineRule="auto"/>
        <w:rPr>
          <w:sz w:val="20"/>
          <w:szCs w:val="20"/>
          <w:color w:val="auto"/>
        </w:rPr>
      </w:pPr>
      <w:r>
        <w:rPr>
          <w:rFonts w:ascii="Arial" w:cs="Arial" w:eastAsia="Arial" w:hAnsi="Arial"/>
          <w:sz w:val="18"/>
          <w:szCs w:val="18"/>
          <w:color w:val="auto"/>
        </w:rPr>
        <w:t>registration statement. From inception through June 30, 2025, we have raised $1.2 billion in aggregate cash proceeds from such transactions, net of issuance costs. As of June 30, 2025, we had cash, cash equivalents and marketable securities of $446.6 million.</w:t>
      </w:r>
    </w:p>
    <w:p>
      <w:pPr>
        <w:spacing w:after="0" w:line="153"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$75.0 million of common stock from time to time in at-the-market offerings. The 2023 Sales Agreement was terminated in January 2024. During the six months ended June 30, 2024, we issued and sold an aggregate of 192,190 shares under the 2023 Sales Agreement for aggregate net proceeds of $5.3 million, after deducting commissions and offering expenses payable by us.</w:t>
      </w:r>
    </w:p>
    <w:p>
      <w:pPr>
        <w:spacing w:after="0" w:line="17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January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As of June 30, 2025, 352,500 warrants associated with this offering were exercised on a cashless basis with no cash proceeds received by us.</w:t>
      </w:r>
    </w:p>
    <w:p>
      <w:pPr>
        <w:spacing w:after="0" w:line="183" w:lineRule="exact"/>
        <w:rPr>
          <w:sz w:val="20"/>
          <w:szCs w:val="20"/>
          <w:color w:val="auto"/>
        </w:rPr>
      </w:pPr>
    </w:p>
    <w:p>
      <w:pPr>
        <w:jc w:val="both"/>
        <w:ind w:right="580" w:firstLine="445"/>
        <w:spacing w:after="0" w:line="262"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to provide for the offering, issuance, and sale of up to an aggregate amount of $150.0 million of common stock in at-the-market offerings. During the six months ended June 30, 2024, we issued and sold an aggregate of 17,662 shares under the 2024 Sales Agreement for aggregate net proceeds of $0.9 million, after deducting commissions and offering expenses payable by us.</w:t>
      </w:r>
    </w:p>
    <w:p>
      <w:pPr>
        <w:spacing w:after="0" w:line="17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April 2024, we completed a public offering of: (i) an aggregate of 3,849,558 shares of our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us.</w:t>
      </w:r>
    </w:p>
    <w:p>
      <w:pPr>
        <w:spacing w:after="0" w:line="18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In December 2024, we entered into an amendment to the 2024 Sales Agreement with Jefferies to provide for the offering, issuance and sale of up to an aggregate of $250.0 million of common stock from time to time in at-the-market offerings. During the six months ended June 30, 2025, we issued and sold an aggregate of 1,351,689 shares under the amended 2024 Sales Agreement for aggregate net proceeds of $83.3 million, after deducting commissions and offering expenses payable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(107,686)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(48,135)</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(287,142)</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399,120</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63,843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880" w:firstLine="445"/>
        <w:spacing w:after="0" w:line="287"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ind w:right="460"/>
        <w:spacing w:after="0" w:line="268" w:lineRule="auto"/>
        <w:rPr>
          <w:sz w:val="20"/>
          <w:szCs w:val="20"/>
          <w:color w:val="auto"/>
        </w:rPr>
      </w:pPr>
      <w:r>
        <w:rPr>
          <w:rFonts w:ascii="Arial" w:cs="Arial" w:eastAsia="Arial" w:hAnsi="Arial"/>
          <w:sz w:val="18"/>
          <w:szCs w:val="18"/>
          <w:color w:val="auto"/>
        </w:rPr>
        <w:t>operating activities as we have invested in developing our portfolio, drug discovery efforts and related infrastructure. The cash used in operating activities resulted primarily from our net losses adjusted for non -cash charges and changes in operating assets and liabilities, which are primarily the result of increased expenses and timing of vendor payments.</w:t>
      </w:r>
    </w:p>
    <w:p>
      <w:pPr>
        <w:spacing w:after="0" w:line="171" w:lineRule="exact"/>
        <w:rPr>
          <w:sz w:val="20"/>
          <w:szCs w:val="20"/>
          <w:color w:val="auto"/>
        </w:rPr>
      </w:pPr>
    </w:p>
    <w:p>
      <w:pPr>
        <w:jc w:val="both"/>
        <w:ind w:right="400" w:firstLine="445"/>
        <w:spacing w:after="0" w:line="268" w:lineRule="auto"/>
        <w:rPr>
          <w:sz w:val="20"/>
          <w:szCs w:val="20"/>
          <w:color w:val="auto"/>
        </w:rPr>
      </w:pPr>
      <w:r>
        <w:rPr>
          <w:rFonts w:ascii="Arial" w:cs="Arial" w:eastAsia="Arial" w:hAnsi="Arial"/>
          <w:sz w:val="18"/>
          <w:szCs w:val="18"/>
          <w:color w:val="auto"/>
        </w:rPr>
        <w:t>During the six months ended June 30, 2025, net cash used in operating activities of $107.7 million was primarily due to our $140.4 million net loss, partially offset by $17.8 million in changes in operating assets and liabilities primarily related to an increase in accounts payable and $14.9 million of non-cash charges primarily related to stock-based compensation.</w:t>
      </w:r>
    </w:p>
    <w:p>
      <w:pPr>
        <w:spacing w:after="0" w:line="171"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During the six months ended June 30, 2024, net cash used in operating activities of $48.1 million was primarily due to our $72.2 million net loss, partially offset by $2.2 million in changes in operating assets and liabilities primarily related to increases in accounts payable and accrued expenses, and $21.9 million of non-cash charges primarily related to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During the six months ended June 30, 2025, net cash used in investing activities of $33.2 million was primarily related to purchases of marketable securities offset by maturities of marketable securities.</w:t>
      </w:r>
    </w:p>
    <w:p>
      <w:pPr>
        <w:spacing w:after="0" w:line="153"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During the six months ended June 30, 2024, net cash used in investing activities of $287.1 million was primarily related to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700" w:firstLine="445"/>
        <w:spacing w:after="0" w:line="287" w:lineRule="auto"/>
        <w:rPr>
          <w:sz w:val="20"/>
          <w:szCs w:val="20"/>
          <w:color w:val="auto"/>
        </w:rPr>
      </w:pPr>
      <w:r>
        <w:rPr>
          <w:rFonts w:ascii="Arial" w:cs="Arial" w:eastAsia="Arial" w:hAnsi="Arial"/>
          <w:sz w:val="18"/>
          <w:szCs w:val="18"/>
          <w:color w:val="auto"/>
        </w:rPr>
        <w:t>During the six months ended June 30, 2025, net cash provided by financing activities of $82.9 million consisted primarily of net proceeds from our at-the-market offerings.</w:t>
      </w:r>
    </w:p>
    <w:p>
      <w:pPr>
        <w:spacing w:after="0" w:line="153" w:lineRule="exact"/>
        <w:rPr>
          <w:sz w:val="20"/>
          <w:szCs w:val="20"/>
          <w:color w:val="auto"/>
        </w:rPr>
      </w:pPr>
    </w:p>
    <w:p>
      <w:pPr>
        <w:ind w:right="440" w:firstLine="445"/>
        <w:spacing w:after="0" w:line="268" w:lineRule="auto"/>
        <w:rPr>
          <w:sz w:val="20"/>
          <w:szCs w:val="20"/>
          <w:color w:val="auto"/>
        </w:rPr>
      </w:pPr>
      <w:r>
        <w:rPr>
          <w:rFonts w:ascii="Arial" w:cs="Arial" w:eastAsia="Arial" w:hAnsi="Arial"/>
          <w:sz w:val="18"/>
          <w:szCs w:val="18"/>
          <w:color w:val="auto"/>
        </w:rPr>
        <w:t>During the six months ended June 30, 2024, net cash provided by financing activities of $399.1 million consisted primarily of net proceeds from our January 2024 and April 2024 follow-on public offerings, our at-the-market offerings and our collaboration and license agreement with Tenacia Biotechnology (Shanghai) Co., Ltd.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5" w:lineRule="exact"/>
        <w:rPr>
          <w:sz w:val="20"/>
          <w:szCs w:val="20"/>
          <w:color w:val="auto"/>
        </w:rPr>
      </w:pPr>
    </w:p>
    <w:p>
      <w:pPr>
        <w:jc w:val="both"/>
        <w:ind w:right="120" w:firstLine="445"/>
        <w:spacing w:after="0" w:line="268"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6"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1" w:name="page32"/>
    <w:bookmarkEnd w:id="31"/>
    <w:p>
      <w:pPr>
        <w:ind w:right="180"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June 30, 2025 will be sufficient to fund our operating expenses and capital expenditure requirements into 2028. However, we have based this estimate on assumptions that may prove to be wrong and we could exhaust our capital resources sooner than we expect.</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1"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7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2" w:name="page33"/>
    <w:bookmarkEnd w:id="32"/>
    <w:p>
      <w:pPr>
        <w:ind w:right="14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28, 2025,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ind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2025.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6" w:right="4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The risk factor set forth below updates, and should be read in conjunction with, the risk factors previously disclosed in the section entitled "Risk Factors" of our Annual Report on Form 10-K for the year ended December 31, 2024 filed with the SEC on February 28, 2025.</w:t>
      </w:r>
    </w:p>
    <w:p>
      <w:pPr>
        <w:spacing w:after="0" w:line="45" w:lineRule="exact"/>
        <w:rPr>
          <w:sz w:val="20"/>
          <w:szCs w:val="20"/>
          <w:color w:val="auto"/>
        </w:rPr>
      </w:pPr>
    </w:p>
    <w:p>
      <w:pPr>
        <w:ind w:right="4320"/>
        <w:spacing w:after="0" w:line="376" w:lineRule="auto"/>
        <w:rPr>
          <w:sz w:val="20"/>
          <w:szCs w:val="20"/>
          <w:color w:val="auto"/>
        </w:rPr>
      </w:pPr>
      <w:r>
        <w:rPr>
          <w:rFonts w:ascii="Arial" w:cs="Arial" w:eastAsia="Arial" w:hAnsi="Arial"/>
          <w:sz w:val="18"/>
          <w:szCs w:val="18"/>
          <w:b w:val="1"/>
          <w:bCs w:val="1"/>
          <w:color w:val="auto"/>
        </w:rPr>
        <w:t xml:space="preserve">Risks Related to Research and Development and the Biopharmaceutical Industry </w:t>
      </w:r>
      <w:r>
        <w:rPr>
          <w:rFonts w:ascii="Arial" w:cs="Arial" w:eastAsia="Arial" w:hAnsi="Arial"/>
          <w:sz w:val="18"/>
          <w:szCs w:val="18"/>
          <w:u w:val="single" w:color="auto"/>
          <w:color w:val="auto"/>
        </w:rPr>
        <w:t>Risks Related to Preclinical and Clinical Development</w:t>
      </w:r>
    </w:p>
    <w:p>
      <w:pPr>
        <w:spacing w:after="0" w:line="1"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i w:val="1"/>
          <w:iCs w:val="1"/>
          <w:color w:val="auto"/>
        </w:rPr>
        <w:t>A Breakthrough Therapy designation from the FDA, even if granted for any of our product candidates, may not lead to a faster development or regulatory review or approval process, and does not increase the likelihood that our product candidates will receive FDA approval.</w:t>
      </w:r>
    </w:p>
    <w:p>
      <w:pPr>
        <w:spacing w:after="0" w:line="5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have obtained Breakthrough Therapy designation from the FDA for relutrigine for treatment of seizures associated with SCN2A and SCN8A developmental and epileptic encephalopathy, and we may seek additional Breakthrough Therapy designations for our product candidates where we believe the clinical data support such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product candidate sponsor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submitted NDA, if the relevant criteria are met.</w:t>
      </w:r>
    </w:p>
    <w:p>
      <w:pPr>
        <w:spacing w:after="0" w:line="1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or review and does not assure ultimate approval by the FDA. In addition, even if one or more of our product candidates qualify as Breakthrough Therapies, the FDA may later decide that the product candidate no longer meets the conditions for qualification and rescind the designation.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June 30,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240"/>
          </w:cols>
          <w:pgMar w:left="320" w:top="13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type w:val="continuous"/>
        </w:sectPr>
      </w:pPr>
    </w:p>
    <w:bookmarkStart w:id="35" w:name="page36"/>
    <w:bookmarkEnd w:id="35"/>
    <w:p>
      <w:pPr>
        <w:ind w:left="407" w:right="5220" w:hanging="407"/>
        <w:spacing w:after="0" w:line="375" w:lineRule="auto"/>
        <w:tabs>
          <w:tab w:leader="none" w:pos="4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407" w:right="1180" w:hanging="407"/>
        <w:spacing w:after="0" w:line="375" w:lineRule="auto"/>
        <w:tabs>
          <w:tab w:leader="none" w:pos="4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407" w:hanging="407"/>
        <w:spacing w:after="0"/>
        <w:tabs>
          <w:tab w:leader="none" w:pos="4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407"/>
        <w:spacing w:after="0" w:line="287" w:lineRule="auto"/>
        <w:rPr>
          <w:rFonts w:ascii="Arial" w:cs="Arial" w:eastAsia="Arial" w:hAnsi="Arial"/>
          <w:sz w:val="18"/>
          <w:szCs w:val="18"/>
          <w:color w:val="auto"/>
        </w:rPr>
      </w:pPr>
      <w:r>
        <w:rPr>
          <w:rFonts w:ascii="Arial" w:cs="Arial" w:eastAsia="Arial" w:hAnsi="Arial"/>
          <w:sz w:val="18"/>
          <w:szCs w:val="18"/>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3"/>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7"/>
          </w:cols>
          <w:pgMar w:left="733" w:top="998"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2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1440" w:type="dxa"/>
            <w:vAlign w:val="bottom"/>
          </w:tcPr>
          <w:p>
            <w:pPr>
              <w:spacing w:after="0"/>
              <w:rPr>
                <w:sz w:val="16"/>
                <w:szCs w:val="16"/>
                <w:color w:val="auto"/>
              </w:rPr>
            </w:pPr>
          </w:p>
        </w:tc>
        <w:tc>
          <w:tcPr>
            <w:tcW w:w="7020" w:type="dxa"/>
            <w:vAlign w:val="bottom"/>
            <w:gridSpan w:val="16"/>
            <w:vMerge w:val="restart"/>
          </w:tcPr>
          <w:p>
            <w:pPr>
              <w:ind w:left="23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1440" w:type="dxa"/>
            <w:vAlign w:val="bottom"/>
          </w:tcPr>
          <w:p>
            <w:pPr>
              <w:spacing w:after="0"/>
              <w:rPr>
                <w:sz w:val="18"/>
                <w:szCs w:val="18"/>
                <w:color w:val="auto"/>
              </w:rPr>
            </w:pPr>
          </w:p>
        </w:tc>
        <w:tc>
          <w:tcPr>
            <w:tcW w:w="7020" w:type="dxa"/>
            <w:vAlign w:val="bottom"/>
            <w:gridSpan w:val="1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60" w:type="dxa"/>
            <w:vAlign w:val="bottom"/>
            <w:tcBorders>
              <w:top w:val="single" w:sz="8" w:color="auto"/>
            </w:tcBorders>
            <w:gridSpan w:val="17"/>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9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October 20, 2020)</w:t>
              </w:r>
            </w:hyperlink>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80" w:type="dxa"/>
            <w:vAlign w:val="bottom"/>
            <w:tcBorders>
              <w:bottom w:val="single" w:sz="8" w:color="0000FF"/>
            </w:tcBorders>
            <w:gridSpan w:val="10"/>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Certificate of Amendment to the Amended and Restated Certificate of Incorporation (incorporated by</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60" w:type="dxa"/>
            <w:vAlign w:val="bottom"/>
            <w:gridSpan w:val="17"/>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reference to Exhibit 3.1 to the Registrant’s Current Report on Form 8-K (File No. 001-39620) filed with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Securities and Exchange Commission on December 1,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 No. 001-39620) filed on January 7, 2022)</w:t>
              </w:r>
            </w:hyperlink>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6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on Form 8-K (File No. 001-39620) filed on January 12, 2024</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6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FF"/>
              </w:rPr>
            </w:pPr>
            <w:hyperlink r:id="rId61">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on Form 8-K (File No. 001-39620) filed on March 29, 2024</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9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2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2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Section 1350, as Adopted Pursuant to Section 906 of the Sarbanes-Oxley Act of 2002</w:t>
            </w:r>
          </w:p>
        </w:tc>
        <w:tc>
          <w:tcPr>
            <w:tcW w:w="9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101.INS*</w:t>
            </w:r>
          </w:p>
        </w:tc>
        <w:tc>
          <w:tcPr>
            <w:tcW w:w="68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1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101.SCH*</w:t>
            </w: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101.CAL*</w:t>
            </w: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101.DEF*</w:t>
            </w: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101.LAB*</w:t>
            </w: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101.PRE*</w:t>
            </w:r>
          </w:p>
        </w:tc>
        <w:tc>
          <w:tcPr>
            <w:tcW w:w="84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August 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August 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890"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30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40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40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31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40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June 30, 2025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95" w:lineRule="exact"/>
        <w:rPr>
          <w:sz w:val="20"/>
          <w:szCs w:val="20"/>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4, 2025</w:t>
            </w:r>
          </w:p>
        </w:tc>
        <w:tc>
          <w:tcPr>
            <w:tcW w:w="31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4, 2025</w:t>
            </w:r>
          </w:p>
        </w:tc>
        <w:tc>
          <w:tcPr>
            <w:tcW w:w="31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lvl w:ilvl="1">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lvl w:ilvl="1">
      <w:lvlJc w:val="left"/>
      <w:lvlText w:val="%2"/>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57" Type="http://schemas.openxmlformats.org/officeDocument/2006/relationships/hyperlink" Target="https://www.sec.gov/Archives/edgar/data/1689548/000119312520272877/d94620dex31.htm" TargetMode="External"/><Relationship Id="rId58" Type="http://schemas.openxmlformats.org/officeDocument/2006/relationships/hyperlink" Target="https://www.sec.gov/Archives/edgar/data/1689548/000168954823000162/exhibit31praxis-reversesto.htm" TargetMode="External"/><Relationship Id="rId59" Type="http://schemas.openxmlformats.org/officeDocument/2006/relationships/hyperlink" Target="https://www.sec.gov/Archives/edgar/data/1689548/000110465922002260/tm222120d1_ex3-1.htm" TargetMode="External"/><Relationship Id="rId60" Type="http://schemas.openxmlformats.org/officeDocument/2006/relationships/hyperlink" Target="https://www.sec.gov/Archives/edgar/data/1689548/000110465924003764/tm243213d1_ex4-1.htm" TargetMode="External"/><Relationship Id="rId61" Type="http://schemas.openxmlformats.org/officeDocument/2006/relationships/hyperlink" Target="https://www.sec.gov/Archives/edgar/data/1689548/000110465924041158/tm247764d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2025-08-04T07:37:33Z</dcterms:created>
  <dcterms:modified xsi:type="dcterms:W3CDTF">2025-08-04T07:37:33Z</dcterms:modified>
</cp:coreProperties>
</file>