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40" w:firstLine="445"/>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4"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7" w:lineRule="exact"/>
        <w:rPr>
          <w:sz w:val="24"/>
          <w:szCs w:val="24"/>
          <w:color w:val="auto"/>
        </w:rPr>
      </w:pPr>
    </w:p>
    <w:p>
      <w:pPr>
        <w:ind w:right="220" w:firstLine="445"/>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2026, the registrant had 27,878,774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right="16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surrounding potential regulatory submissions, progress or approvals and timing thereof for any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14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operations and obtain additional funding, if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ind w:right="160"/>
        <w:spacing w:after="0" w:line="257" w:lineRule="auto"/>
        <w:rPr>
          <w:sz w:val="20"/>
          <w:szCs w:val="20"/>
          <w:color w:val="auto"/>
        </w:rPr>
      </w:pPr>
      <w:r>
        <w:rPr>
          <w:rFonts w:ascii="Arial" w:cs="Arial" w:eastAsia="Arial" w:hAnsi="Arial"/>
          <w:sz w:val="18"/>
          <w:szCs w:val="18"/>
          <w:color w:val="auto"/>
        </w:rPr>
        <w:t>sections titled "Risk Factors" in our Annual Report on Form 10-K for the year ended December 31, 2025.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8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20"/>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060" w:type="dxa"/>
            <w:vAlign w:val="bottom"/>
            <w:gridSpan w:val="15"/>
          </w:tcPr>
          <w:p>
            <w:pPr>
              <w:spacing w:after="0"/>
              <w:rPr>
                <w:sz w:val="20"/>
                <w:szCs w:val="20"/>
                <w:color w:val="auto"/>
              </w:rPr>
            </w:pPr>
            <w:r>
              <w:rPr>
                <w:rFonts w:ascii="Arial" w:cs="Arial" w:eastAsia="Arial" w:hAnsi="Arial"/>
                <w:sz w:val="18"/>
                <w:szCs w:val="18"/>
                <w:color w:val="0000FF"/>
                <w:w w:val="99"/>
              </w:rPr>
              <w:t>Condensed Consolidated Balance Sheets as of March 31, 2026 and December 31, 2025</w:t>
            </w:r>
          </w:p>
        </w:tc>
        <w:tc>
          <w:tcPr>
            <w:tcW w:w="150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2026 and 2025</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Loss for the Three Months Ended March 31, 2026</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2025</w:t>
            </w:r>
          </w:p>
        </w:tc>
        <w:tc>
          <w:tcPr>
            <w:tcW w:w="77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2026</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2025</w:t>
            </w:r>
          </w:p>
        </w:tc>
        <w:tc>
          <w:tcPr>
            <w:tcW w:w="774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2026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8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5"/>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4"/>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357,329</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250,532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242,002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797,774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610,911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660,938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326,757</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1,460,202</w:t>
            </w:r>
          </w:p>
        </w:tc>
        <w:tc>
          <w:tcPr>
            <w:tcW w:w="1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937,907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24,628</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17,648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35,033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59,771</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59,771</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March 31, 2026 and December 31, 2025</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stock, $0.0001 par value; 150,000,000 shares authorized; 27,859,514 shares issued and</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March 31, 2026, and 25,195,092 shares issued and outstanding as of December 31, 2025</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2,644,109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2,017,566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(1,232,569)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(1,140,008)</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other comprehensive (loss) gain</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1,409,961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878,136</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1,460,202</w:t>
            </w:r>
          </w:p>
        </w:tc>
        <w:tc>
          <w:tcPr>
            <w:tcW w:w="1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937,907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56"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77,987</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60,806</w:t>
            </w: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27,873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13,922</w:t>
            </w:r>
          </w:p>
        </w:tc>
      </w:tr>
      <w:tr>
        <w:trPr>
          <w:trHeight w:val="209"/>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105,860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74,728</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(74,728)</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r>
      <w:tr>
        <w:trPr>
          <w:trHeight w:val="209"/>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(92,561)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28,883,596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21,055,834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4"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(69,296)</w:t>
            </w: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(loss) gain on marketable securities, net of tax</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(94,718)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8"/>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Gain (Loss)</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25,195,092</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2,017,566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(1,140,008)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878,136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17,112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17,112</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7"/>
              </w:rPr>
              <w:t>Issuance of common stock from follow-on public offering, net of underwriting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discounts, commissions and offering costs of $40,153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2,543,800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621,235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134,225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31,945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(92,561)</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27,859,514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2,644,109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(1,232,569)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1,409,961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06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16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80" w:type="dxa"/>
            <w:vAlign w:val="bottom"/>
          </w:tcPr>
          <w:p>
            <w:pPr>
              <w:jc w:val="center"/>
              <w:ind w:right="58"/>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Gain (Loss)</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19,422,358</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1,281,522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(836,740)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445,450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8,786</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$1,120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694,212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54,904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173,840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55,850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(18,765)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(1,195)</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(69,296)</w:t>
            </w:r>
          </w:p>
        </w:tc>
        <w:tc>
          <w:tcPr>
            <w:tcW w:w="0" w:type="dxa"/>
            <w:vAlign w:val="bottom"/>
          </w:tcPr>
          <w:p>
            <w:pPr>
              <w:spacing w:after="0"/>
              <w:rPr>
                <w:sz w:val="1"/>
                <w:szCs w:val="1"/>
                <w:color w:val="auto"/>
              </w:rPr>
            </w:pPr>
          </w:p>
        </w:tc>
      </w:tr>
      <w:tr>
        <w:trPr>
          <w:trHeight w:val="174"/>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20,341,917</w:t>
            </w:r>
          </w:p>
        </w:tc>
        <w:tc>
          <w:tcPr>
            <w:tcW w:w="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1,344,577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(906,036)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439,214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(92,561)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(69,296)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(86,152)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(53,010)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(117,057)</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65,993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(51,064)</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net of underwriting discounts, commissions and</w:t>
            </w: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621,235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costs</w:t>
            </w: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54,904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609,431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54,269</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179,004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(49,805)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215,788</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165,567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 of property and equipment included in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Removal of right-of-use assets in connection with lease termination</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fully integrated, leading central nervous system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29" w:lineRule="exact"/>
        <w:rPr>
          <w:sz w:val="20"/>
          <w:szCs w:val="20"/>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at-the-market offerings under its shelf registration statement, and follow-on public offerings of common stock and pre-funded warrants to purchase common stock. From inception through March 31, 2026, the Company raised $2.4 billion in aggregate cash proceeds from these transactions, net of issuance costs.</w:t>
      </w:r>
    </w:p>
    <w:p>
      <w:pPr>
        <w:spacing w:after="0" w:line="179"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may require significant additional research and development efforts, including preclinical and clinical testing and regulatory approval, prior to commercialization. These efforts require significant amounts of capital, adequate personnel and infrastructure and extensive compliance-reporting capabilities. Even if the Company’s product development efforts are successful, it is uncertain when, if ever, the Company will realize revenue from product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$92.6 million for the three months ended March 31, 2026. In addition, as of March 31, 2026, the Company had an accumulated deficit of $1.2 billion. The Company expects to continue to generate operating losses for the foreseeable future.</w:t>
      </w:r>
    </w:p>
    <w:p>
      <w:pPr>
        <w:spacing w:after="0" w:line="171" w:lineRule="exact"/>
        <w:rPr>
          <w:sz w:val="20"/>
          <w:szCs w:val="20"/>
          <w:color w:val="auto"/>
        </w:rPr>
      </w:pPr>
    </w:p>
    <w:p>
      <w:pPr>
        <w:jc w:val="both"/>
        <w:ind w:right="60" w:firstLine="445"/>
        <w:spacing w:after="0" w:line="268" w:lineRule="auto"/>
        <w:rPr>
          <w:sz w:val="20"/>
          <w:szCs w:val="20"/>
          <w:color w:val="auto"/>
        </w:rPr>
      </w:pPr>
      <w:r>
        <w:rPr>
          <w:rFonts w:ascii="Arial" w:cs="Arial" w:eastAsia="Arial" w:hAnsi="Arial"/>
          <w:sz w:val="18"/>
          <w:szCs w:val="18"/>
          <w:color w:val="auto"/>
        </w:rPr>
        <w:t>The Company expects that its cash, cash equivalents and marketable securities as of March 31, 2026 of $1.4 billion will be sufficient to fund its operating expenditures and capital expenditure requirements necessary to advance its research efforts and clinical trials for at least one year from the date of issuance of these condensed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consolidated financial statements. The future viability of the Company is dependent on its ability to achieve regulatory approvals of its new drug applications, which are subject to risk and timing uncertainty, and raising additional capital to finance its operations, if needed.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7" w:lineRule="exact"/>
        <w:rPr>
          <w:sz w:val="20"/>
          <w:szCs w:val="20"/>
          <w:color w:val="auto"/>
        </w:rPr>
      </w:pPr>
    </w:p>
    <w:p>
      <w:pPr>
        <w:ind w:right="726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40"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jc w:val="both"/>
        <w:ind w:right="42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2026 are consistent with those discussed in Note 2 to the consolidated financial statements included in the Company's 2025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March 31, 2026, the condensed consolidated statements of operations for the three months ended March 31, 2026 and 2025, the condensed consolidated statements of comprehensive loss for the three months ended March 31, 2026 and 2025, the condensed consolidated statements of cash flows for the three months ended March 31, 2026 and 2025 and the condensed consolidated statements of stockholders’ equity for the three months ended March 31, 2026 and 2025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and its cash flows for the three months ended March 31, 2026 and 2025. Financial statement disclosures for the three months ended March 31, 2026 and 2025 are condensed and do not include all disclosures required for an annual set of financial statements in accordance with GAAP.</w:t>
      </w:r>
    </w:p>
    <w:p>
      <w:pPr>
        <w:spacing w:after="0" w:line="185"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results for the three months ended March 31, 2026 are not necessarily indicative of results to be expected for the year ended December 31, 2026,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ind w:right="160"/>
        <w:spacing w:after="0" w:line="287" w:lineRule="auto"/>
        <w:rPr>
          <w:sz w:val="20"/>
          <w:szCs w:val="20"/>
          <w:color w:val="auto"/>
        </w:rPr>
      </w:pPr>
      <w:r>
        <w:rPr>
          <w:rFonts w:ascii="Arial" w:cs="Arial" w:eastAsia="Arial" w:hAnsi="Arial"/>
          <w:sz w:val="18"/>
          <w:szCs w:val="18"/>
          <w:color w:val="auto"/>
        </w:rPr>
        <w:t>all of the criteria for equity classification are recorded as a component of additional paid-in capital. Equity classified warrants are accounted for at fair value on the issuance date with no changes in fair value recognized after the issuance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For equity awards that do not vest unless the performance condition is met, the Company recognizes expense if, and to the extent that, it is determined that achievement of the performance conditions are probable. If the Company concludes that vesting is probable, expense is recognized over the requisite service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Disclosures (Subtopic 220-40): Disaggregation of Income Statement Expenses </w:t>
      </w:r>
      <w:r>
        <w:rPr>
          <w:rFonts w:ascii="Arial" w:cs="Arial" w:eastAsia="Arial" w:hAnsi="Arial"/>
          <w:sz w:val="18"/>
          <w:szCs w:val="18"/>
          <w:color w:val="auto"/>
        </w:rPr>
        <w:t>("ASU 2024-03"), requiring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statements. The Company is currently evaluating the impact of adopting ASU 2024-03 on its consolidated financial statements.</w:t>
      </w:r>
    </w:p>
    <w:p>
      <w:pPr>
        <w:spacing w:after="0" w:line="183"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("ASU 2025-06"), which amends certain aspects of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disclosure of software costs under ASC 350-40. The ASU makes targeted improvements to ASC 350-40 to modernize the guidance for internal-use software and better reflect current software development practices. ASU 2025-06 is effective for fiscal periods beginning after December 15, 2027 and interim periods within those fiscal years. The amendments in this update can be applied using a prospective, retrospective, or modified transition approach. The Company does not expect the adoption of ASU 2025-06 to have a material impact on its consolidated financial statements.</w:t>
      </w:r>
    </w:p>
    <w:p>
      <w:pPr>
        <w:spacing w:after="0" w:line="183"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In December 2025, the FASB issued ASU No.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material impact on the entity. ASU 2025-11 is effective for fiscal years beginning after December 15, 2027, including interim periods within those fiscal years, with early adoption permitted. The Company is currently evaluating the impact of adopting ASU 2025-11on its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March 31, 2026 and December 31, 2025 (in thousands):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March 31, 2026</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ind w:left="1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245,659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245,659</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257,298</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311,106</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Asset backed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88,388</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6,537</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248,141</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1,157,129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195,296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195,296</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183,997</w:t>
            </w:r>
          </w:p>
        </w:tc>
      </w:tr>
      <w:tr>
        <w:trPr>
          <w:trHeight w:val="217"/>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backed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61,352</w:t>
            </w:r>
          </w:p>
        </w:tc>
      </w:tr>
      <w:tr>
        <w:trPr>
          <w:trHeight w:val="215"/>
        </w:trPr>
        <w:tc>
          <w:tcPr>
            <w:tcW w:w="606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7,718</w:t>
            </w:r>
          </w:p>
        </w:tc>
      </w:tr>
      <w:tr>
        <w:trPr>
          <w:trHeight w:val="216"/>
        </w:trPr>
        <w:tc>
          <w:tcPr>
            <w:tcW w:w="6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770,494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771,057</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As of March 31, 2026, the Company had 178 securities with a total fair market value of $763.2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250,532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242,002</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660,938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326,757</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911,470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568,759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months ended March 31, 2026 and 2025.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117" w:lineRule="exact"/>
        <w:rPr>
          <w:sz w:val="20"/>
          <w:szCs w:val="20"/>
          <w:color w:val="auto"/>
        </w:rPr>
      </w:pPr>
    </w:p>
    <w:p>
      <w:pPr>
        <w:ind w:left="5580" w:right="1280" w:hanging="5248"/>
        <w:spacing w:after="0" w:line="929"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ind w:left="660" w:right="84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2026 and December 31, 2025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As of March 31, 2026</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2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245,659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245,659</w:t>
            </w:r>
          </w:p>
        </w:tc>
      </w:tr>
      <w:tr>
        <w:trPr>
          <w:trHeight w:val="271"/>
        </w:trPr>
        <w:tc>
          <w:tcPr>
            <w:tcW w:w="5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2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257,298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257,298</w:t>
            </w:r>
          </w:p>
        </w:tc>
      </w:tr>
      <w:tr>
        <w:trPr>
          <w:trHeight w:val="217"/>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311,106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311,106</w:t>
            </w:r>
          </w:p>
        </w:tc>
      </w:tr>
      <w:tr>
        <w:trPr>
          <w:trHeight w:val="215"/>
        </w:trPr>
        <w:tc>
          <w:tcPr>
            <w:tcW w:w="5220" w:type="dxa"/>
            <w:vAlign w:val="bottom"/>
          </w:tcPr>
          <w:p>
            <w:pPr>
              <w:ind w:left="460"/>
              <w:spacing w:after="0"/>
              <w:rPr>
                <w:sz w:val="20"/>
                <w:szCs w:val="20"/>
                <w:color w:val="auto"/>
              </w:rPr>
            </w:pPr>
            <w:r>
              <w:rPr>
                <w:rFonts w:ascii="Arial" w:cs="Arial" w:eastAsia="Arial" w:hAnsi="Arial"/>
                <w:sz w:val="16"/>
                <w:szCs w:val="16"/>
                <w:color w:val="auto"/>
              </w:rPr>
              <w:t>Asset backed securities</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88,388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88,388</w:t>
            </w:r>
          </w:p>
        </w:tc>
      </w:tr>
      <w:tr>
        <w:trPr>
          <w:trHeight w:val="217"/>
        </w:trPr>
        <w:tc>
          <w:tcPr>
            <w:tcW w:w="5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6,537</w:t>
            </w:r>
          </w:p>
        </w:tc>
      </w:tr>
      <w:tr>
        <w:trPr>
          <w:trHeight w:val="215"/>
        </w:trPr>
        <w:tc>
          <w:tcPr>
            <w:tcW w:w="522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248,141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248,141</w:t>
            </w:r>
          </w:p>
        </w:tc>
      </w:tr>
      <w:tr>
        <w:trPr>
          <w:trHeight w:val="235"/>
        </w:trPr>
        <w:tc>
          <w:tcPr>
            <w:tcW w:w="5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654,172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1,157,129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195,296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195,296</w:t>
            </w:r>
          </w:p>
        </w:tc>
      </w:tr>
      <w:tr>
        <w:trPr>
          <w:trHeight w:val="271"/>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190,999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190,999</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198,318</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Asset backed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61,352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61,352</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117,374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117,374</w:t>
            </w:r>
          </w:p>
        </w:tc>
      </w:tr>
      <w:tr>
        <w:trPr>
          <w:trHeight w:val="234"/>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771,057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2025</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14,291</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18,713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17,648</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35,033</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expired on January 31, 2026. The Company issued a letter of credit to the landlord related to the security deposit, secured by restricted cash, which is reflected within prepaid expenses and other current assets on the accompanying condensed consolidated balance sheets as of March 31, 2026 and December 31, 2025. In September 2025, the Company entered into a license agreement for its existing office space which commenced 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4" w:name="page15"/>
    <w:bookmarkEnd w:id="14"/>
    <w:p>
      <w:pPr>
        <w:ind w:right="380"/>
        <w:spacing w:after="0" w:line="268" w:lineRule="auto"/>
        <w:rPr>
          <w:sz w:val="20"/>
          <w:szCs w:val="20"/>
          <w:color w:val="auto"/>
        </w:rPr>
      </w:pPr>
      <w:r>
        <w:rPr>
          <w:rFonts w:ascii="Arial" w:cs="Arial" w:eastAsia="Arial" w:hAnsi="Arial"/>
          <w:sz w:val="18"/>
          <w:szCs w:val="18"/>
          <w:color w:val="auto"/>
        </w:rPr>
        <w:t>March 1, 2026 and expires on March 31, 2027, with no option to renew or terminate early. At commencement, the Company recorded an operating lease right-of-use asset and operating lease liability of $1.4 million, which are reflected within the accompanying condensed consolidated balance sheet as of March 31, 2026. This license agreement qualifies as an operating lease.</w:t>
      </w:r>
    </w:p>
    <w:p>
      <w:pPr>
        <w:spacing w:after="0" w:line="279" w:lineRule="exact"/>
        <w:rPr>
          <w:sz w:val="20"/>
          <w:szCs w:val="20"/>
          <w:color w:val="auto"/>
        </w:rPr>
      </w:pPr>
    </w:p>
    <w:p>
      <w:pPr>
        <w:ind w:right="7700" w:firstLine="8"/>
        <w:spacing w:after="0" w:line="397" w:lineRule="auto"/>
        <w:tabs>
          <w:tab w:leader="none" w:pos="2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was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7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recognized revenue for its research services performance obligation over time using an input method over the duration of the research services. In December 2024, UCB exercised its option to in-license global development and commercialization rights for a KCNT1 development candidate as part of the Collaboration Agreement. Upon notice of the exercise, the Company recognized the $ 6.0 million option exercise fee and the $2.6 million of remaining collaboration revenue associated with the $5.0 million up front payment as collaboration revenue within the December 31, 2024 consolidated statement of operations, as the Company had no further research service obligations under the terms of the Collaboration Agreement. Accordingly, the Company did not recognize any collaboration revenue associated with this Collaboration Agreement during the three months ended March 31, 2026 or March 31, 2025. As of March 31, 2026, there was no deferred revenue recorded in the condensed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Tenacia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Tenacia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182"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Under the terms of the Tenacia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ind w:right="280" w:firstLine="445"/>
        <w:spacing w:after="0" w:line="268" w:lineRule="auto"/>
        <w:rPr>
          <w:sz w:val="20"/>
          <w:szCs w:val="20"/>
          <w:color w:val="auto"/>
        </w:rPr>
      </w:pPr>
      <w:r>
        <w:rPr>
          <w:rFonts w:ascii="Arial" w:cs="Arial" w:eastAsia="Arial" w:hAnsi="Arial"/>
          <w:sz w:val="18"/>
          <w:szCs w:val="18"/>
          <w:color w:val="auto"/>
        </w:rPr>
        <w:t>The Company concluded that the Tenacia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17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Tenacia License Agreement, both of which were received in January 2024. During the three months ended March 31, 2026, the Company had not achieved any development or sales milestones or earned any royalties under the Tenacia License Agreement.</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Tenacia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181"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As of March 31, 2026, the Company did not have any receivables or deferred revenue related to the arrangement with Tenacia. The Company did not recognize any contract assets related to costs to obtain a contract with a customer or costs to fulfill a contract with a customer through March 31, 2026 because no qualifying costs were incurred. During the three months ended March 31, 2026 and March 31, 2025,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As of March 31, 2026 and December 31, 2025,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2026 and December 31, 2025,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16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8"/>
          <w:szCs w:val="18"/>
          <w:color w:val="auto"/>
        </w:rPr>
        <w:t>securities, cash, or property as they would have been entitled to receive if they had been holders of the common shares issuable under the warrants immediately prior to such transaction. During the year ended December 31, 2025, 200,355 pre-funded warrants were exercised via cashless exercise, resulting in 200,349 shares of common stock issued. No cash proceeds associated with the exercise were received by the Company. As of December 31, 2025, a total of 704,225 pre-funded warrants associated with this offering remained outstanding.</w:t>
      </w:r>
    </w:p>
    <w:p>
      <w:pPr>
        <w:spacing w:after="0" w:line="176"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During the three months ended March 31, 2026, no pre-funded warrants were exercised. As of March 31, 2026, a total of 704,225 pre-funded warrants associated with this offering remained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18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March 31, 2026, none of the pre-funded warrants had been exercised and all remained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2025 Public Offering</w:t>
      </w:r>
    </w:p>
    <w:p>
      <w:pPr>
        <w:spacing w:after="0" w:line="1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October 20, 2025, the Company completed a public offering of: (i) an aggregate of 3,527,072 shares of its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$567.1 million, after deducting underwriting discounts, commissions and other offering expenses payable by the Company.</w:t>
      </w:r>
    </w:p>
    <w:p>
      <w:pPr>
        <w:spacing w:after="0" w:line="18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March 31, 2026, none of the pre-funded warrants had been exercised and all remained outstanding.</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Company determined that the pre-funded warrants related to the January 2024, April 2024, and October 2025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 xml:space="preserve">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2026 Public Offering</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7, 2026, the Company completed a public offering of 2,543,800 shares of its common stock at a public offering price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$260.00 per share, including the underwriters' full exercise of their option to purchase 331,800 additional shares of common stock. Total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generated from the offering were approximately $621.2 million, after deducting underwriting discounts, commissions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payable by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1,946,616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1,876,778</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704,225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704,225</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221,238</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October 2025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318,470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318,470</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1,423,495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473,358</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533,130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281,180</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944,629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945,280</w:t>
            </w:r>
          </w:p>
        </w:tc>
      </w:tr>
      <w:tr>
        <w:trPr>
          <w:trHeight w:val="215"/>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 and performance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636,178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501,853</w:t>
            </w:r>
          </w:p>
        </w:tc>
      </w:tr>
      <w:tr>
        <w:trPr>
          <w:trHeight w:val="23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6,727,981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5,322,382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1040" w:firstLine="445"/>
        <w:spacing w:after="0" w:line="287" w:lineRule="auto"/>
        <w:rPr>
          <w:sz w:val="20"/>
          <w:szCs w:val="20"/>
          <w:color w:val="auto"/>
        </w:rPr>
      </w:pPr>
      <w:r>
        <w:rPr>
          <w:rFonts w:ascii="Arial" w:cs="Arial" w:eastAsia="Arial" w:hAnsi="Arial"/>
          <w:sz w:val="18"/>
          <w:szCs w:val="18"/>
          <w:color w:val="auto"/>
        </w:rPr>
        <w:t>As of March 31, 2026 and December 31, 2025, the authorized capital stock of the Company included 10,000,000 shares of undesignated preferred stock, $0.0001 par value.</w:t>
      </w:r>
    </w:p>
    <w:p>
      <w:pPr>
        <w:spacing w:after="0" w:line="261" w:lineRule="exact"/>
        <w:rPr>
          <w:sz w:val="20"/>
          <w:szCs w:val="20"/>
          <w:color w:val="auto"/>
        </w:rPr>
      </w:pPr>
    </w:p>
    <w:p>
      <w:pPr>
        <w:ind w:right="8640" w:firstLine="8"/>
        <w:spacing w:after="0" w:line="375" w:lineRule="auto"/>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2024 Inducement Plan</w:t>
      </w:r>
    </w:p>
    <w:p>
      <w:pPr>
        <w:spacing w:after="0" w:line="1"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March 31, 2026 and December 31, 2025 was 1,000,000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March 31, 2026 and December 31, 2025 was 4,201,704 shares and 2,941,950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March 31, 2026 and December 31, 2025 was 395,850 shares. Any authorization to issue new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ind w:right="300"/>
        <w:spacing w:after="0" w:line="287" w:lineRule="auto"/>
        <w:rPr>
          <w:sz w:val="20"/>
          <w:szCs w:val="20"/>
          <w:color w:val="auto"/>
        </w:rPr>
      </w:pPr>
      <w:r>
        <w:rPr>
          <w:rFonts w:ascii="Arial" w:cs="Arial" w:eastAsia="Arial" w:hAnsi="Arial"/>
          <w:sz w:val="18"/>
          <w:szCs w:val="18"/>
          <w:color w:val="auto"/>
        </w:rPr>
        <w:t>options under the 2017 Plan was cancelled upon the effectiveness of the 2020 Plan and no further awards will be granted under the 2017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0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March 31, 2026 and December 31, 2025 was 621,318 shares and 369,368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145,016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295.79</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109.24</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504,376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As of March 31, 2026, total unrecognized compensation cost related to unvested restricted stock units was $60.4 million, which is expected to be recognized over a weighted-average period of 3.43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1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January 2026, the Company granted performance stock units ("PSUs") to its executive officers under the 2020 Plan. Vesting of the PSUs is subject to the achievement of specified performance conditions, which include achieving objectively measurable clinical, regulatory and commercial revenue targets. If these conditions are not met, the PSUs would be forfeited and returned to the plan. The actual number of common shares issued that could potentially vest is calculated by multiplying the target number of PSUs granted by a multiplier determined for each performance goal, resulting in an aggregate payout ranging from 0% to 250% of the total target PSUs granted. The performance conditions are required to be achieved during the performance period, which ends on December 31, 2027.</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performance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line="216" w:lineRule="exact"/>
              <w:rPr>
                <w:sz w:val="20"/>
                <w:szCs w:val="20"/>
                <w:color w:val="auto"/>
              </w:rPr>
            </w:pPr>
            <w:r>
              <w:rPr>
                <w:rFonts w:ascii="Arial" w:cs="Arial" w:eastAsia="Arial" w:hAnsi="Arial"/>
                <w:sz w:val="16"/>
                <w:szCs w:val="16"/>
                <w:color w:val="auto"/>
              </w:rPr>
              <w:t>Issued</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131,802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294.38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2026</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The number of shares issued during the period is the maximum amount of shares that could be payable under the terms of the PSU agreement.</w:t>
      </w:r>
    </w:p>
    <w:p>
      <w:pPr>
        <w:spacing w:after="0" w:line="207" w:lineRule="exact"/>
        <w:rPr>
          <w:sz w:val="20"/>
          <w:szCs w:val="20"/>
          <w:color w:val="auto"/>
        </w:rPr>
      </w:pPr>
    </w:p>
    <w:p>
      <w:pPr>
        <w:ind w:right="700" w:firstLine="445"/>
        <w:spacing w:after="0" w:line="287" w:lineRule="auto"/>
        <w:rPr>
          <w:sz w:val="20"/>
          <w:szCs w:val="20"/>
          <w:color w:val="auto"/>
        </w:rPr>
      </w:pPr>
      <w:r>
        <w:rPr>
          <w:rFonts w:ascii="Arial" w:cs="Arial" w:eastAsia="Arial" w:hAnsi="Arial"/>
          <w:sz w:val="18"/>
          <w:szCs w:val="18"/>
          <w:color w:val="auto"/>
        </w:rPr>
        <w:t>As of March 31, 2026, total unrecognized compensation cost related to unvested PSUs that were determined to be probable of achievement was $24.1 million, which is expected to be recognized over a weighted-average period of 0.85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102,063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294.49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1,946,616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454,075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March 31, 2026</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7.03</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289,586</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1,236,855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107.19</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2026</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454,075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months ended March 31, 2026:</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2026</w:t>
            </w:r>
          </w:p>
        </w:tc>
      </w:tr>
      <w:tr>
        <w:trPr>
          <w:trHeight w:val="209"/>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209.19</w:t>
            </w:r>
          </w:p>
        </w:tc>
      </w:tr>
    </w:tbl>
    <w:p>
      <w:pPr>
        <w:spacing w:after="0" w:line="292"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As of March 31, 2026, total unrecognized compensation cost related to unvested stock options was $46.4 million, which is expected to be recognized over a weighted-average period of 2.52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43"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11,599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17,112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8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1,946,616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2,050,354</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Unvested restricted stock units and performance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636,178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522,257</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6,369</w:t>
            </w:r>
          </w:p>
        </w:tc>
      </w:tr>
      <w:tr>
        <w:trPr>
          <w:trHeight w:val="210"/>
        </w:trPr>
        <w:tc>
          <w:tcPr>
            <w:tcW w:w="80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2,587,785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2,578,980</w:t>
            </w: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20" w:name="page21"/>
    <w:bookmarkEnd w:id="20"/>
    <w:p>
      <w:pPr>
        <w:ind w:right="20"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January 2024, April 2024, and October 2025 underwritten public offerings are included in the calculation of basic weighted average number of common shares outstanding for the three months ended March 31, 2026 and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1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condensed consolidated statement of operations as consolidated net loss. Net loss is used by the CODM to make key strategic and operational decisions. The measure of segment assets is reported on the condensed consolidated balance sheet as total consolidated assets. The majority of the Company's long-lived assets are held in the United States.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financial information about the Company's single operating segment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2025 (in thousands):</w:t>
      </w:r>
    </w:p>
    <w:p>
      <w:pPr>
        <w:spacing w:after="0" w:line="13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Program-specific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Ulixacaltamide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19,103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23,513</w:t>
            </w: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Vormatrigine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13,733</w:t>
            </w: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Relutrigine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5,377</w:t>
            </w: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Elsunersen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Other early stage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8,786</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8060" w:type="dxa"/>
            <w:vAlign w:val="bottom"/>
          </w:tcPr>
          <w:p>
            <w:pPr>
              <w:ind w:left="2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bscript"/>
              </w:rPr>
              <w:t>(a)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8,376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Consolidated net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(92,561)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(69,296)</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Other segment expenses includes research and development and general and administrative costs not attributable to a specific program.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7"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for the year ended December 31, 2025, which was filed with the Securities and Exchange Commission, or the SEC, on February 19, 2026.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2025, our actual results could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We are a fully integrated, leading central nervous system, or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29" w:lineRule="exact"/>
        <w:rPr>
          <w:sz w:val="20"/>
          <w:szCs w:val="20"/>
          <w:color w:val="auto"/>
        </w:rPr>
      </w:pPr>
    </w:p>
    <w:p>
      <w:pPr>
        <w:ind w:left="660" w:right="14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right="480" w:firstLine="445"/>
        <w:spacing w:after="0" w:line="26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76"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For our ulixacaltamide program within the Cerebrum™ platform, we announced positive topline results for the two studies in the Phase 3 Essential3 program in essential tremor, or ET, in October 2025. We submitted a New Drug Application, or NDA, for ulixacaltamide HCl for the treatment of ET to the FDA, and it was accepted for review with a target action date under the Prescription Drug User Fee Act, or PDUFA, of January 29, 2027. In anticipation of potential approval, commercial preparations and pre-launch activities are ongoing.</w:t>
      </w:r>
    </w:p>
    <w:p>
      <w:pPr>
        <w:spacing w:after="0" w:line="17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For our relutrigine program within the Cerebrum™ platform, in December 2025, we announced positive results from the registrational cohort of the EMBOLD study in SCN2A and SCN8A developmental and epileptic encephalopathies, or DEEs, after receiving a recommendation from the Data Monitoring Committee to stop the study early for efficacy. We submitted an NDA for relutrigine for the treatment of SCN2A-DEE and SCN8A-DEE to the FDA, and it was accepted for priority review with a target PDUFA action date of September 27, 2026. In anticipation of potential approval, commercial preparations and pre-launch activities are ongoing. The EMERALD study, which is evaluating relutrigine in patients with broad DEEs, has completed recruitment, with topline results anticipated in the fourth quarter of 2026. Assuming approval of the NDA for relutrigine, we believe the EMERALD study, if positive, could serve as the basis for a supplemental NDA, or sNDA, submission in 2027.</w:t>
      </w:r>
    </w:p>
    <w:p>
      <w:pPr>
        <w:spacing w:after="0" w:line="185"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For our vormatrigine program within the Cerebrum™ platform, our ENERGY program is ongoing, which consists of five studies to generate patient eligibility, efficacy, safety and pharmacokinetics, or PK, data in patients with focal onset seizures, or FOS, or generalized epilepsy. Studies under the ENERGY program include EMPOWER, RADIANT, POWER1, POWER2 and POWER3. In the second half of 2025, we announced positive results from our RADIANT Phase 2 open-label study evaluating the PK, safety and efficacy of vormatrigine in patients with FOS or generalized epilepsy. We initiated the EMPOWER study, an observational study of vormatrigine in patients with epilepsy, in the third quarter of 2024. For our POWER1 study, a double-blind, placebo-controlled, 12-week study in FOS, we expect to announce topline results in the second quarter of 2026. POWER2,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2" w:name="page23"/>
    <w:bookmarkEnd w:id="22"/>
    <w:p>
      <w:pPr>
        <w:ind w:right="260"/>
        <w:spacing w:after="0" w:line="287" w:lineRule="auto"/>
        <w:rPr>
          <w:sz w:val="20"/>
          <w:szCs w:val="20"/>
          <w:color w:val="auto"/>
        </w:rPr>
      </w:pPr>
      <w:r>
        <w:rPr>
          <w:rFonts w:ascii="Arial" w:cs="Arial" w:eastAsia="Arial" w:hAnsi="Arial"/>
          <w:sz w:val="18"/>
          <w:szCs w:val="18"/>
          <w:color w:val="auto"/>
        </w:rPr>
        <w:t>our third efficacy study, is enrolling patients, with completion expected in the second half of 2026 and topline results expected in 2027. We intend to initiate POWER3, a clinical trial evaluating vormatrigine as a single-agent treatment for FOS, in the first half of 2026.</w:t>
      </w:r>
    </w:p>
    <w:p>
      <w:pPr>
        <w:spacing w:after="0" w:line="153" w:lineRule="exact"/>
        <w:rPr>
          <w:sz w:val="20"/>
          <w:szCs w:val="20"/>
          <w:color w:val="auto"/>
        </w:rPr>
      </w:pPr>
    </w:p>
    <w:p>
      <w:pPr>
        <w:ind w:right="280" w:firstLine="445"/>
        <w:spacing w:after="0" w:line="262" w:lineRule="auto"/>
        <w:rPr>
          <w:sz w:val="20"/>
          <w:szCs w:val="20"/>
          <w:color w:val="auto"/>
        </w:rPr>
      </w:pPr>
      <w:r>
        <w:rPr>
          <w:rFonts w:ascii="Arial" w:cs="Arial" w:eastAsia="Arial" w:hAnsi="Arial"/>
          <w:sz w:val="18"/>
          <w:szCs w:val="18"/>
          <w:color w:val="auto"/>
        </w:rPr>
        <w:t>For our most advanced product candidate under the Solidus™ platform, elsunersen, we announced positive topline results from the EMBRAVE Part A study evaluating the safety and efficacy of elsunersen versus sham procedure in April 2026 for treating SCN2A gain-of-function DEE. We are currently enrolling EMBRAVE3, a Phase 3 registrational study for SCN2A gain-of-function DEE, and expect to announce topline results in 2027.</w:t>
      </w:r>
    </w:p>
    <w:p>
      <w:pPr>
        <w:spacing w:after="0" w:line="176"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genetic link to de novo autism spectrum disorders, or ASD. We anticipate nominating a development candidate for PRAX-080, PRAX-090 and PRAX-100 in the first half of 2026.</w:t>
      </w:r>
    </w:p>
    <w:p>
      <w:pPr>
        <w:spacing w:after="0" w:line="176"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2"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All of our product candidates are in preclinical and clinical development or awaiting regulatory approval.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$92.6 million for the three months ended March 31, 2026. As of March 31, 2026, we had an accumulated deficit of $1.2 billion. We expect to incur significant expenses for the foreseeable future as we expand our research and development activities and prepare for commercialization of our product candidates.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right="68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prepare for the potential commercialization of ulixacaltamide, for which we have submitted an NDA to the FDA that has been accepted for review, after successful completion of our Phase 3 Essential3 program for ET;</w:t>
      </w:r>
    </w:p>
    <w:p>
      <w:pPr>
        <w:spacing w:after="0" w:line="98" w:lineRule="exact"/>
        <w:rPr>
          <w:rFonts w:ascii="Arial" w:cs="Arial" w:eastAsia="Arial" w:hAnsi="Arial"/>
          <w:sz w:val="18"/>
          <w:szCs w:val="18"/>
          <w:color w:val="auto"/>
        </w:rPr>
      </w:pPr>
    </w:p>
    <w:p>
      <w:pPr>
        <w:ind w:left="660" w:right="80" w:hanging="328"/>
        <w:spacing w:after="0" w:line="31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prepare for the potential commercialization of relutrigine, for which we have submitted an NDA to the FDA which has been accepted for review after a successful interim analysis in the EMBOLD clinical trial, and advance relutrigine in the EMERALD clinical trial;</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vormatrigine in the ENERGY clinical trials for FOS or generalized epilepsy;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elsunersen in the EMBRAVE3 pivotal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building our sales, marketing and distribution infrastructure to commercialize any products for which we may obtain marketing approval; and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3" w:name="page24"/>
    <w:bookmarkEnd w:id="23"/>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headcount to support our development and commercialization efforts.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a result, we will need substantial capital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2"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As of March 31, 2026, we had cash, cash equivalents and marketable securities of $1.4 billion. We expect that our cash, cash equivalents, and marketable securities as of March 31, 2026 will be sufficient to fund our operating expenditures and capital expenditure requirements necessary to advance our operating activities into 2028. The analysis included consideration of our current financial needs and ongoing research and development and commercialization plans. We have based this estimate on assumptions that may prove to be wrong, and we could exhaust our available capital resources sooner than we expect. See “—Liquidity and Capital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We have not generated any revenue from the sale of products since inception and our ability to generate revenue from the sale of products in the future will be dependent on regulatory approval of our product candidates.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60" w:hanging="128"/>
        <w:spacing w:after="0" w:line="438" w:lineRule="auto"/>
        <w:tabs>
          <w:tab w:leader="none" w:pos="6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ind w:right="120" w:firstLine="445"/>
        <w:spacing w:after="0" w:line="256"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8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the periods presented below (in thousands):</w:t>
      </w:r>
    </w:p>
    <w:p>
      <w:pPr>
        <w:spacing w:after="0" w:line="71"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51,989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42,832</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77,987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if approved,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ind w:left="660" w:right="11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as we prepare for the potential launch of our product candidates;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months ended March 31, 2026 and 2025.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77,987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60,806</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17,181</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13,951</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105,860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74,728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(31,132)</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7,867</w:t>
            </w:r>
          </w:p>
        </w:tc>
        <w:tc>
          <w:tcPr>
            <w:tcW w:w="0" w:type="dxa"/>
            <w:vAlign w:val="bottom"/>
          </w:tcPr>
          <w:p>
            <w:pPr>
              <w:spacing w:after="0"/>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(69,296)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9,157</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77,987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$17.2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$9.2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1040" w:hanging="320"/>
        <w:spacing w:after="0" w:line="28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$6.9 million increase in spend for our relutrigine program, primarily related to our EMERALD trial activities and manufacturing spend to support commercialization;</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$6.9 million increase in spend for our vormatrigine program, primarily driven by spend for our ENERGY program;</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$1.7 million increase in activities for our earlier stage assets as we advance our portfolio; partially offset by,</w:t>
      </w:r>
    </w:p>
    <w:p>
      <w:pPr>
        <w:spacing w:after="0" w:line="171" w:lineRule="exact"/>
        <w:rPr>
          <w:rFonts w:ascii="Arial" w:cs="Arial" w:eastAsia="Arial" w:hAnsi="Arial"/>
          <w:sz w:val="18"/>
          <w:szCs w:val="18"/>
          <w:color w:val="auto"/>
        </w:rPr>
      </w:pPr>
    </w:p>
    <w:p>
      <w:pPr>
        <w:jc w:val="both"/>
        <w:ind w:left="1300" w:right="420" w:hanging="320"/>
        <w:spacing w:after="0" w:line="268"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$6.3 million decrease in spend for our ulixacaltamide program, driven primarily by decreased activity in the Essential3 study, partially offset by increased manufacturing costs to support commercialization and the PDUFA fee paid in the first quarter of 2026.</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$3.8 million increase in personnel-related costs mainly due to increased headcount; and</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 million increase in expense related to our Solidus™ platform, driven by elsunersen program spend for EMBRAVE Part A clinical trial and our EMBRAVE3 pivotal clinical trial.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$14.0 million increase in general and administrative expenses was primarily attributable to the following:</w:t>
      </w:r>
    </w:p>
    <w:p>
      <w:pPr>
        <w:spacing w:after="0" w:line="171" w:lineRule="exact"/>
        <w:rPr>
          <w:sz w:val="20"/>
          <w:szCs w:val="20"/>
          <w:color w:val="auto"/>
        </w:rPr>
      </w:pPr>
    </w:p>
    <w:p>
      <w:pPr>
        <w:ind w:left="660" w:right="7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$9.8 million increase in personnel-related costs mainly due to increased stock-based compensation expense and increased headcount;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ind w:left="660" w:right="1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 million increase in professional expenses, primarily attributable to increased commercial spend as we prepare for the potential launch of ulixacaltamide and relutrigine.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or awaiting regulatory review, and we may not generate meaningful revenue from product sales in the near term, if at all.</w:t>
      </w:r>
    </w:p>
    <w:p>
      <w:pPr>
        <w:spacing w:after="0" w:line="17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March 31, 2026, we have raised $2.4 billion in aggregate cash proceeds from such transactions, net of issuance costs. As of March 31, 2026, we had cash, cash equivalents, and marketable securities of $1.4 billion.</w:t>
      </w:r>
    </w:p>
    <w:p>
      <w:pPr>
        <w:spacing w:after="0" w:line="17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LLC, or Jefferies, to provide for the offering, issuance, and sale of up to an aggregate amount of $150.0 million of common stock in at-the-market offerings. In December 2024, we entered into an amendment to the 2024 Sales Agreement with Jefferies to provide for the offering, issuance and sale of up to an aggregate amount of $ 250.0 million of common stock from time to time in at-the-market offerings. During the three months ended March 31, 2025, we issued and sold an aggregate of 694,212 shares under the amended 2024 Sales Agreement for aggregate net proceeds of $54.9 million, after deducting commissions and offering expenses payable by us. The amended 2024 Sales Agreement was terminated in September 2025.</w:t>
      </w:r>
    </w:p>
    <w:p>
      <w:pPr>
        <w:spacing w:after="0" w:line="183"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In September 2025, we entered into a Sales Agreement, or the 2025 Sales Agreement, with TD Securities (USA) LLC, or TD Cowen, to provide for the offering, issuance and sale of up to an aggregate of $250.0 million of common stock from time to time in at-the-market offerings. During the three months ended March 31, 2026, we did not issue or sell any shares of common stock under the 2025 Sales Agreement.</w:t>
      </w:r>
    </w:p>
    <w:p>
      <w:pPr>
        <w:spacing w:after="0" w:line="176"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In October 2025, we completed a public offering of: (i) an aggregate of 3,527,072 shares of our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$567.1 million, after deducting underwriting discounts, commissions, and other offering expenses payable by us. As of March 31, 2026, none of the pre-funded warrants had been exercised and all remained outstanding.</w:t>
      </w:r>
    </w:p>
    <w:p>
      <w:pPr>
        <w:spacing w:after="0" w:line="183" w:lineRule="exact"/>
        <w:rPr>
          <w:sz w:val="20"/>
          <w:szCs w:val="20"/>
          <w:color w:val="auto"/>
        </w:rPr>
      </w:pPr>
    </w:p>
    <w:p>
      <w:pPr>
        <w:ind w:right="380" w:firstLine="445"/>
        <w:spacing w:after="0" w:line="262" w:lineRule="auto"/>
        <w:rPr>
          <w:sz w:val="20"/>
          <w:szCs w:val="20"/>
          <w:color w:val="auto"/>
        </w:rPr>
      </w:pPr>
      <w:r>
        <w:rPr>
          <w:rFonts w:ascii="Arial" w:cs="Arial" w:eastAsia="Arial" w:hAnsi="Arial"/>
          <w:sz w:val="18"/>
          <w:szCs w:val="18"/>
          <w:color w:val="auto"/>
        </w:rPr>
        <w:t>In January 2026, we completed a public offering of 2,543,800 shares of our common stock at a public offering price of $260.00 per share, including the underwriters' full exercise of their option to purchase 331,800 additional shares of common stock. Total net proceeds generated from the offering were approximately $621.2 million, after deducting underwriting discounts, commissions and other offering expenses payable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(86,152)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459"/>
              <w:spacing w:after="0"/>
              <w:rPr>
                <w:sz w:val="20"/>
                <w:szCs w:val="20"/>
                <w:color w:val="auto"/>
              </w:rPr>
            </w:pPr>
            <w:r>
              <w:rPr>
                <w:rFonts w:ascii="Arial" w:cs="Arial" w:eastAsia="Arial" w:hAnsi="Arial"/>
                <w:sz w:val="16"/>
                <w:szCs w:val="16"/>
                <w:color w:val="auto"/>
              </w:rPr>
              <w:t>(53,010)</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(51,064)</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609,431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54,269</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(49,805)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w:t>
      </w:r>
    </w:p>
    <w:p>
      <w:pPr>
        <w:spacing w:after="0" w:line="176"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During the three months ended March 31, 2026, net cash used in operating activities of $ 86.2 million was primarily due to our $92.6 million net loss and $10.3 million in changes in operating assets and liabilities primarily related to a decrease in accrued expenses, partially offset by $16.7 million of non-cash charges primarily related to stock-based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2025, net cash used in operating activities of $53.0 million was primarily due to our</w:t>
      </w:r>
    </w:p>
    <w:p>
      <w:pPr>
        <w:spacing w:after="0" w:line="2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$69.3 million net loss, partially offset by $8.4 million in changes in operating assets and liabilities primarily related to an increase in accounts payable and $7.9 million of non-cash charges primarily related to 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800" w:firstLine="445"/>
        <w:spacing w:after="0" w:line="287" w:lineRule="auto"/>
        <w:rPr>
          <w:sz w:val="20"/>
          <w:szCs w:val="20"/>
          <w:color w:val="auto"/>
        </w:rPr>
      </w:pPr>
      <w:r>
        <w:rPr>
          <w:rFonts w:ascii="Arial" w:cs="Arial" w:eastAsia="Arial" w:hAnsi="Arial"/>
          <w:sz w:val="18"/>
          <w:szCs w:val="18"/>
          <w:color w:val="auto"/>
        </w:rPr>
        <w:t>During the three months ended March 31, 2026, net cash used in investing activities of $344.3 million was primarily related to purchases of marketable securities offset by maturities of marketable securities.</w:t>
      </w:r>
    </w:p>
    <w:p>
      <w:pPr>
        <w:spacing w:after="0" w:line="153"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During the three months ended March 31, 2025, net cash used in investing activities of $51.1 million was primarily related to purchases of marketable securities offset by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During the three months ended March 31, 2026, net cash provided by financing activities of $609.4 million consisted primarily of net proceeds from our January 2026 follow-on offering.</w:t>
      </w:r>
    </w:p>
    <w:p>
      <w:pPr>
        <w:spacing w:after="0" w:line="153"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During the three months ended March 31, 2025, net cash provided by financing activities of $54.3 million consisted primarily of net proceeds from our at-the-market offerings.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80" w:firstLine="445"/>
        <w:spacing w:after="0" w:line="262"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and our commercialization activities as we prepare for the potential approval of our product candidates. As a result, we expect to incur substantial operating expenses for the foreseeable future. We anticipate that our expenses will increase substantially if and as we:</w:t>
      </w:r>
    </w:p>
    <w:p>
      <w:pPr>
        <w:spacing w:after="0" w:line="122" w:lineRule="exact"/>
        <w:rPr>
          <w:sz w:val="20"/>
          <w:szCs w:val="20"/>
          <w:color w:val="auto"/>
        </w:rPr>
      </w:pPr>
    </w:p>
    <w:p>
      <w:pPr>
        <w:ind w:left="660" w:right="9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build a sales, marketing, technology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17"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when needed, add clinical, scientific, operational, financial and management information systems and personnel, including personnel to support our product development and commercialization efforts and to support our operations as a public company; and</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8" w:right="379" w:bottom="1440" w:gutter="0" w:footer="0" w:header="0"/>
        </w:sectPr>
      </w:pPr>
    </w:p>
    <w:bookmarkStart w:id="29" w:name="page30"/>
    <w:bookmarkEnd w:id="29"/>
    <w:p>
      <w:pPr>
        <w:ind w:left="660" w:right="4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March 31, 2026 will be sufficient to fund our operating expenditures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Accordingly, we may need to obtain substantial additional funds to achieve our business objectives.</w:t>
      </w:r>
    </w:p>
    <w:p>
      <w:pPr>
        <w:spacing w:after="0" w:line="17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19, 2026,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ind w:right="80"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2026.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6" w:right="4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2025 filed with the SEC on February 19, 2026.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March 31,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100"/>
        <w:spacing w:after="0" w:line="268" w:lineRule="auto"/>
        <w:rPr>
          <w:rFonts w:ascii="Arial" w:cs="Arial" w:eastAsia="Arial" w:hAnsi="Arial"/>
          <w:sz w:val="18"/>
          <w:szCs w:val="18"/>
          <w:color w:val="auto"/>
        </w:rPr>
      </w:pPr>
      <w:r>
        <w:rPr>
          <w:rFonts w:ascii="Arial" w:cs="Arial" w:eastAsia="Arial" w:hAnsi="Arial"/>
          <w:sz w:val="18"/>
          <w:szCs w:val="18"/>
          <w:color w:val="auto"/>
        </w:rPr>
        <w:t>During the three months ended March 31, 2026, no director or officer of the Company adopted or terminated a "Rule 10b5-1 trading arrangement" or "non-Rule 10b5-1 trading arrangement," as each term is defined in Item 408(a) of Regulation S-K, except as follows:</w:t>
      </w:r>
    </w:p>
    <w:p>
      <w:pPr>
        <w:spacing w:after="0" w:line="62" w:lineRule="exact"/>
        <w:rPr>
          <w:rFonts w:ascii="Arial" w:cs="Arial" w:eastAsia="Arial" w:hAnsi="Arial"/>
          <w:sz w:val="18"/>
          <w:szCs w:val="18"/>
          <w:color w:val="auto"/>
        </w:rPr>
      </w:pPr>
    </w:p>
    <w:p>
      <w:pPr>
        <w:ind w:left="820"/>
        <w:spacing w:after="0" w:line="262" w:lineRule="auto"/>
        <w:rPr>
          <w:rFonts w:ascii="Arial" w:cs="Arial" w:eastAsia="Arial" w:hAnsi="Arial"/>
          <w:sz w:val="18"/>
          <w:szCs w:val="18"/>
          <w:color w:val="auto"/>
        </w:rPr>
      </w:pPr>
      <w:r>
        <w:rPr>
          <w:rFonts w:ascii="Arial" w:cs="Arial" w:eastAsia="Arial" w:hAnsi="Arial"/>
          <w:sz w:val="18"/>
          <w:szCs w:val="18"/>
          <w:color w:val="auto"/>
        </w:rPr>
        <w:t>On March 25, 2026, Jill DeSimone, a member of our board of directors, adopted a “Rule 10b5-1 trading arrangement” providing for the sale from time to time of an aggregate of up to 11,600 shares of our common stock. The trading arrangement is intended to satisfy the affirmative defense conditions of Rule 10b5-1(c). The duration of the trading arrangement is until December 31, 2026, or earlier if all transactions under the trading arrangement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960" w:type="dxa"/>
            <w:vAlign w:val="bottom"/>
            <w:gridSpan w:val="20"/>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960" w:type="dxa"/>
            <w:vAlign w:val="bottom"/>
            <w:gridSpan w:val="2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5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22"/>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60" w:type="dxa"/>
            <w:vAlign w:val="bottom"/>
          </w:tcPr>
          <w:p>
            <w:pPr>
              <w:spacing w:after="0"/>
              <w:rPr>
                <w:rFonts w:ascii="Arial" w:cs="Arial" w:eastAsia="Arial" w:hAnsi="Arial"/>
                <w:sz w:val="18"/>
                <w:szCs w:val="18"/>
                <w:color w:val="0000FF"/>
                <w:w w:val="95"/>
              </w:rPr>
            </w:pPr>
            <w:hyperlink r:id="rId54">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4">
              <w:r>
                <w:rPr>
                  <w:rFonts w:ascii="Arial" w:cs="Arial" w:eastAsia="Arial" w:hAnsi="Arial"/>
                  <w:sz w:val="18"/>
                  <w:szCs w:val="18"/>
                  <w:color w:val="0000FF"/>
                </w:rPr>
                <w:t>Certificate of Amendment to the Amended and Restated Certificate of Incorporation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440" w:type="dxa"/>
            <w:vAlign w:val="bottom"/>
            <w:gridSpan w:val="21"/>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3.1 to the Registrant’s Current Report on Form 8-K (File No. 001-39620) filed with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Securities and Exchange Commission on December 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6"/>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on Form 8-K (File No. 001-39620) filed on January 12, 2024)</w:t>
              </w:r>
            </w:hyperlink>
          </w:p>
        </w:tc>
        <w:tc>
          <w:tcPr>
            <w:tcW w:w="3360" w:type="dxa"/>
            <w:vAlign w:val="bottom"/>
            <w:tcBorders>
              <w:top w:val="single" w:sz="8" w:color="0000FF"/>
            </w:tcBorders>
            <w:gridSpan w:val="11"/>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7">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on Form 8-K (File No. 001-39620) filed on March 29, 2024)</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8-K (File No. 001-39620) filed on October 20, 2025)</w:t>
              </w:r>
            </w:hyperlink>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gridSpan w:val="4"/>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Performance-Based Restricted Stock Unit Award Agreement for employees under the 2020 Stock</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Option and Incentive Plan, as amended and restated (incorporated by reference to Exhibit 10.11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Registrant's Annual Report on Form 10-K (File No. 001-39620) filed on February 19, 2026).</w:t>
              </w:r>
            </w:hyperlink>
          </w:p>
        </w:tc>
        <w:tc>
          <w:tcPr>
            <w:tcW w:w="880" w:type="dxa"/>
            <w:vAlign w:val="bottom"/>
            <w:tcBorders>
              <w:top w:val="single" w:sz="8" w:color="0000FF"/>
            </w:tcBorders>
            <w:gridSpan w:val="7"/>
          </w:tcPr>
          <w:p>
            <w:pPr>
              <w:spacing w:after="0"/>
              <w:rPr>
                <w:sz w:val="13"/>
                <w:szCs w:val="13"/>
                <w:color w:val="auto"/>
              </w:rPr>
            </w:pPr>
          </w:p>
        </w:tc>
        <w:tc>
          <w:tcPr>
            <w:tcW w:w="2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6"/>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gridSpan w:val="2"/>
          </w:tcPr>
          <w:p>
            <w:pPr>
              <w:spacing w:after="0"/>
              <w:rPr>
                <w:sz w:val="13"/>
                <w:szCs w:val="13"/>
                <w:color w:val="auto"/>
              </w:rPr>
            </w:pPr>
          </w:p>
        </w:tc>
        <w:tc>
          <w:tcPr>
            <w:tcW w:w="9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890"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6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6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4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7" w:name="page38"/>
    <w:bookmarkEnd w:id="3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March 31, 2026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95" w:lineRule="exact"/>
        <w:rPr>
          <w:sz w:val="20"/>
          <w:szCs w:val="20"/>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2026</w:t>
            </w:r>
          </w:p>
        </w:tc>
        <w:tc>
          <w:tcPr>
            <w:tcW w:w="31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7, 2026</w:t>
            </w:r>
          </w:p>
        </w:tc>
        <w:tc>
          <w:tcPr>
            <w:tcW w:w="31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
      <w:numFmt w:val="bullet"/>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53" Type="http://schemas.openxmlformats.org/officeDocument/2006/relationships/hyperlink" Target="https://www.sec.gov/Archives/edgar/data/1689548/000119312520272877/d94620dex31.htm" TargetMode="External"/><Relationship Id="rId54" Type="http://schemas.openxmlformats.org/officeDocument/2006/relationships/hyperlink" Target="https://www.sec.gov/Archives/edgar/data/1689548/000168954823000162/exhibit31praxis-reversesto.htm" TargetMode="External"/><Relationship Id="rId55" Type="http://schemas.openxmlformats.org/officeDocument/2006/relationships/hyperlink" Target="https://www.sec.gov/Archives/edgar/data/1689548/000110465922002260/tm222120d1_ex3-1.htm" TargetMode="External"/><Relationship Id="rId56" Type="http://schemas.openxmlformats.org/officeDocument/2006/relationships/hyperlink" Target="https://www.sec.gov/Archives/edgar/data/1689548/000110465924003764/tm243213d1_ex4-1.htm" TargetMode="External"/><Relationship Id="rId57" Type="http://schemas.openxmlformats.org/officeDocument/2006/relationships/hyperlink" Target="https://www.sec.gov/Archives/edgar/data/1689548/000110465924041158/tm247764d6_ex4-1.htm" TargetMode="External"/><Relationship Id="rId58" Type="http://schemas.openxmlformats.org/officeDocument/2006/relationships/hyperlink" Target="https://www.sec.gov/Archives/edgar/data/1689548/000110465925100488/tm2528989d1_ex4-1.htm" TargetMode="External"/><Relationship Id="rId59" Type="http://schemas.openxmlformats.org/officeDocument/2006/relationships/hyperlink" Target="https://www.sec.gov/Archives/edgar/data/1689548/000168954826000029/exhibit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2026-05-07T08:09:49Z</dcterms:created>
  <dcterms:modified xsi:type="dcterms:W3CDTF">2026-05-07T08:09:49Z</dcterms:modified>
</cp:coreProperties>
</file>