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285115</wp:posOffset>
            </wp:positionH>
            <wp:positionV relativeFrom="page">
              <wp:posOffset>782955</wp:posOffset>
            </wp:positionV>
            <wp:extent cx="69862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808990</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317500</wp:posOffset>
            </wp:positionV>
            <wp:extent cx="17227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121920</wp:posOffset>
            </wp:positionV>
            <wp:extent cx="17227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99060</wp:posOffset>
            </wp:positionV>
            <wp:extent cx="17227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PRAXIS PRECISION MEDICINES,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193040</wp:posOffset>
            </wp:positionV>
            <wp:extent cx="1722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2080" w:type="dxa"/>
            <w:vAlign w:val="bottom"/>
          </w:tcPr>
          <w:p>
            <w:pPr>
              <w:jc w:val="center"/>
              <w:ind w:right="38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08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001-39620</w:t>
            </w:r>
          </w:p>
        </w:tc>
        <w:tc>
          <w:tcPr>
            <w:tcW w:w="1700" w:type="dxa"/>
            <w:vAlign w:val="bottom"/>
          </w:tcPr>
          <w:p>
            <w:pPr>
              <w:jc w:val="center"/>
              <w:ind w:left="502"/>
              <w:spacing w:after="0"/>
              <w:rPr>
                <w:sz w:val="20"/>
                <w:szCs w:val="20"/>
                <w:color w:val="auto"/>
              </w:rPr>
            </w:pPr>
            <w:r>
              <w:rPr>
                <w:rFonts w:ascii="Times New Roman" w:cs="Times New Roman" w:eastAsia="Times New Roman" w:hAnsi="Times New Roman"/>
                <w:sz w:val="18"/>
                <w:szCs w:val="18"/>
                <w:b w:val="1"/>
                <w:bCs w:val="1"/>
                <w:color w:val="auto"/>
              </w:rPr>
              <w:t>47-5195942</w:t>
            </w:r>
          </w:p>
        </w:tc>
      </w:tr>
      <w:tr>
        <w:trPr>
          <w:trHeight w:val="205"/>
        </w:trPr>
        <w:tc>
          <w:tcPr>
            <w:tcW w:w="2080" w:type="dxa"/>
            <w:vAlign w:val="bottom"/>
          </w:tcPr>
          <w:p>
            <w:pPr>
              <w:jc w:val="center"/>
              <w:ind w:right="36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08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700" w:type="dxa"/>
            <w:vAlign w:val="bottom"/>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80" w:type="dxa"/>
            <w:vAlign w:val="bottom"/>
          </w:tcPr>
          <w:p>
            <w:pPr>
              <w:jc w:val="center"/>
              <w:ind w:right="38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08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00" w:type="dxa"/>
            <w:vAlign w:val="bottom"/>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68"/>
        </w:trPr>
        <w:tc>
          <w:tcPr>
            <w:tcW w:w="2080" w:type="dxa"/>
            <w:vAlign w:val="bottom"/>
          </w:tcPr>
          <w:p>
            <w:pPr>
              <w:spacing w:after="0"/>
              <w:rPr>
                <w:sz w:val="24"/>
                <w:szCs w:val="24"/>
                <w:color w:val="auto"/>
              </w:rPr>
            </w:pPr>
          </w:p>
        </w:tc>
        <w:tc>
          <w:tcPr>
            <w:tcW w:w="508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Praxis Precision Medicines, Inc.</w:t>
            </w:r>
          </w:p>
        </w:tc>
        <w:tc>
          <w:tcPr>
            <w:tcW w:w="1700" w:type="dxa"/>
            <w:vAlign w:val="bottom"/>
          </w:tcPr>
          <w:p>
            <w:pPr>
              <w:spacing w:after="0"/>
              <w:rPr>
                <w:sz w:val="24"/>
                <w:szCs w:val="24"/>
                <w:color w:val="auto"/>
              </w:rPr>
            </w:pPr>
          </w:p>
        </w:tc>
      </w:tr>
      <w:tr>
        <w:trPr>
          <w:trHeight w:val="216"/>
        </w:trPr>
        <w:tc>
          <w:tcPr>
            <w:tcW w:w="2080" w:type="dxa"/>
            <w:vAlign w:val="bottom"/>
          </w:tcPr>
          <w:p>
            <w:pPr>
              <w:spacing w:after="0"/>
              <w:rPr>
                <w:sz w:val="18"/>
                <w:szCs w:val="18"/>
                <w:color w:val="auto"/>
              </w:rPr>
            </w:pPr>
          </w:p>
        </w:tc>
        <w:tc>
          <w:tcPr>
            <w:tcW w:w="508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99 High Street, 30th Floor</w:t>
            </w:r>
          </w:p>
        </w:tc>
        <w:tc>
          <w:tcPr>
            <w:tcW w:w="1700" w:type="dxa"/>
            <w:vAlign w:val="bottom"/>
          </w:tcPr>
          <w:p>
            <w:pPr>
              <w:spacing w:after="0"/>
              <w:rPr>
                <w:sz w:val="18"/>
                <w:szCs w:val="18"/>
                <w:color w:val="auto"/>
              </w:rPr>
            </w:pPr>
          </w:p>
        </w:tc>
      </w:tr>
      <w:tr>
        <w:trPr>
          <w:trHeight w:val="214"/>
        </w:trPr>
        <w:tc>
          <w:tcPr>
            <w:tcW w:w="2080" w:type="dxa"/>
            <w:vAlign w:val="bottom"/>
          </w:tcPr>
          <w:p>
            <w:pPr>
              <w:spacing w:after="0"/>
              <w:rPr>
                <w:sz w:val="18"/>
                <w:szCs w:val="18"/>
                <w:color w:val="auto"/>
              </w:rPr>
            </w:pPr>
          </w:p>
        </w:tc>
        <w:tc>
          <w:tcPr>
            <w:tcW w:w="5080" w:type="dxa"/>
            <w:vAlign w:val="bottom"/>
          </w:tcPr>
          <w:p>
            <w:pPr>
              <w:jc w:val="center"/>
              <w:ind w:right="18"/>
              <w:spacing w:after="0"/>
              <w:rPr>
                <w:sz w:val="20"/>
                <w:szCs w:val="20"/>
                <w:color w:val="auto"/>
              </w:rPr>
            </w:pPr>
            <w:r>
              <w:rPr>
                <w:rFonts w:ascii="Times New Roman" w:cs="Times New Roman" w:eastAsia="Times New Roman" w:hAnsi="Times New Roman"/>
                <w:sz w:val="18"/>
                <w:szCs w:val="18"/>
                <w:b w:val="1"/>
                <w:bCs w:val="1"/>
                <w:color w:val="auto"/>
                <w:w w:val="99"/>
              </w:rPr>
              <w:t>Boston, Massachusetts 02110</w:t>
            </w:r>
          </w:p>
        </w:tc>
        <w:tc>
          <w:tcPr>
            <w:tcW w:w="1700" w:type="dxa"/>
            <w:vAlign w:val="bottom"/>
          </w:tcPr>
          <w:p>
            <w:pPr>
              <w:spacing w:after="0"/>
              <w:rPr>
                <w:sz w:val="18"/>
                <w:szCs w:val="18"/>
                <w:color w:val="auto"/>
              </w:rPr>
            </w:pPr>
          </w:p>
        </w:tc>
      </w:tr>
      <w:tr>
        <w:trPr>
          <w:trHeight w:val="190"/>
        </w:trPr>
        <w:tc>
          <w:tcPr>
            <w:tcW w:w="2080" w:type="dxa"/>
            <w:vAlign w:val="bottom"/>
          </w:tcPr>
          <w:p>
            <w:pPr>
              <w:spacing w:after="0"/>
              <w:rPr>
                <w:sz w:val="16"/>
                <w:szCs w:val="16"/>
                <w:color w:val="auto"/>
              </w:rPr>
            </w:pPr>
          </w:p>
        </w:tc>
        <w:tc>
          <w:tcPr>
            <w:tcW w:w="50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00" w:type="dxa"/>
            <w:vAlign w:val="bottom"/>
          </w:tcPr>
          <w:p>
            <w:pPr>
              <w:spacing w:after="0"/>
              <w:rPr>
                <w:sz w:val="16"/>
                <w:szCs w:val="16"/>
                <w:color w:val="auto"/>
              </w:rPr>
            </w:pPr>
          </w:p>
        </w:tc>
      </w:tr>
      <w:tr>
        <w:trPr>
          <w:trHeight w:val="417"/>
        </w:trPr>
        <w:tc>
          <w:tcPr>
            <w:tcW w:w="2080" w:type="dxa"/>
            <w:vAlign w:val="bottom"/>
          </w:tcPr>
          <w:p>
            <w:pPr>
              <w:spacing w:after="0"/>
              <w:rPr>
                <w:sz w:val="24"/>
                <w:szCs w:val="24"/>
                <w:color w:val="auto"/>
              </w:rPr>
            </w:pPr>
          </w:p>
        </w:tc>
        <w:tc>
          <w:tcPr>
            <w:tcW w:w="508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(617) 300-8460</w:t>
            </w:r>
          </w:p>
        </w:tc>
        <w:tc>
          <w:tcPr>
            <w:tcW w:w="1700" w:type="dxa"/>
            <w:vAlign w:val="bottom"/>
          </w:tcPr>
          <w:p>
            <w:pPr>
              <w:spacing w:after="0"/>
              <w:rPr>
                <w:sz w:val="24"/>
                <w:szCs w:val="24"/>
                <w:color w:val="auto"/>
              </w:rPr>
            </w:pPr>
          </w:p>
        </w:tc>
      </w:tr>
      <w:tr>
        <w:trPr>
          <w:trHeight w:val="190"/>
        </w:trPr>
        <w:tc>
          <w:tcPr>
            <w:tcW w:w="2080" w:type="dxa"/>
            <w:vAlign w:val="bottom"/>
          </w:tcPr>
          <w:p>
            <w:pPr>
              <w:spacing w:after="0"/>
              <w:rPr>
                <w:sz w:val="16"/>
                <w:szCs w:val="16"/>
                <w:color w:val="auto"/>
              </w:rPr>
            </w:pPr>
          </w:p>
        </w:tc>
        <w:tc>
          <w:tcPr>
            <w:tcW w:w="50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00" w:type="dxa"/>
            <w:vAlign w:val="bottom"/>
          </w:tcPr>
          <w:p>
            <w:pPr>
              <w:spacing w:after="0"/>
              <w:rPr>
                <w:sz w:val="16"/>
                <w:szCs w:val="16"/>
                <w:color w:val="auto"/>
              </w:rPr>
            </w:pPr>
          </w:p>
        </w:tc>
      </w:tr>
      <w:tr>
        <w:trPr>
          <w:trHeight w:val="404"/>
        </w:trPr>
        <w:tc>
          <w:tcPr>
            <w:tcW w:w="2080" w:type="dxa"/>
            <w:vAlign w:val="bottom"/>
          </w:tcPr>
          <w:p>
            <w:pPr>
              <w:spacing w:after="0"/>
              <w:rPr>
                <w:sz w:val="24"/>
                <w:szCs w:val="24"/>
                <w:color w:val="auto"/>
              </w:rPr>
            </w:pPr>
          </w:p>
        </w:tc>
        <w:tc>
          <w:tcPr>
            <w:tcW w:w="508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00" w:type="dxa"/>
            <w:vAlign w:val="bottom"/>
          </w:tcPr>
          <w:p>
            <w:pPr>
              <w:spacing w:after="0"/>
              <w:rPr>
                <w:sz w:val="24"/>
                <w:szCs w:val="24"/>
                <w:color w:val="auto"/>
              </w:rPr>
            </w:pPr>
          </w:p>
        </w:tc>
      </w:tr>
      <w:tr>
        <w:trPr>
          <w:trHeight w:val="190"/>
        </w:trPr>
        <w:tc>
          <w:tcPr>
            <w:tcW w:w="2080" w:type="dxa"/>
            <w:vAlign w:val="bottom"/>
          </w:tcPr>
          <w:p>
            <w:pPr>
              <w:spacing w:after="0"/>
              <w:rPr>
                <w:sz w:val="16"/>
                <w:szCs w:val="16"/>
                <w:color w:val="auto"/>
              </w:rPr>
            </w:pPr>
          </w:p>
        </w:tc>
        <w:tc>
          <w:tcPr>
            <w:tcW w:w="508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194945</wp:posOffset>
            </wp:positionV>
            <wp:extent cx="1722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5"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3" w:lineRule="exact"/>
        <w:rPr>
          <w:sz w:val="24"/>
          <w:szCs w:val="24"/>
          <w:color w:val="auto"/>
        </w:rPr>
      </w:pPr>
    </w:p>
    <w:tbl>
      <w:tblPr>
        <w:tblLayout w:type="fixed"/>
        <w:tblInd w:w="54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50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Trade</w:t>
            </w:r>
          </w:p>
        </w:tc>
        <w:tc>
          <w:tcPr>
            <w:tcW w:w="3500" w:type="dxa"/>
            <w:vAlign w:val="bottom"/>
            <w:gridSpan w:val="3"/>
          </w:tcPr>
          <w:p>
            <w:pPr>
              <w:jc w:val="center"/>
              <w:ind w:left="779"/>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160"/>
        </w:trPr>
        <w:tc>
          <w:tcPr>
            <w:tcW w:w="1160" w:type="dxa"/>
            <w:vAlign w:val="bottom"/>
          </w:tcPr>
          <w:p>
            <w:pPr>
              <w:spacing w:after="0"/>
              <w:rPr>
                <w:sz w:val="13"/>
                <w:szCs w:val="13"/>
                <w:color w:val="auto"/>
              </w:rPr>
            </w:pPr>
          </w:p>
        </w:tc>
        <w:tc>
          <w:tcPr>
            <w:tcW w:w="10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Title of each class</w:t>
            </w:r>
          </w:p>
        </w:tc>
        <w:tc>
          <w:tcPr>
            <w:tcW w:w="2520" w:type="dxa"/>
            <w:vAlign w:val="bottom"/>
          </w:tcPr>
          <w:p>
            <w:pPr>
              <w:spacing w:after="0"/>
              <w:rPr>
                <w:sz w:val="13"/>
                <w:szCs w:val="13"/>
                <w:color w:val="auto"/>
              </w:rPr>
            </w:pPr>
          </w:p>
        </w:tc>
        <w:tc>
          <w:tcPr>
            <w:tcW w:w="6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Symbol(s)</w:t>
            </w:r>
          </w:p>
        </w:tc>
        <w:tc>
          <w:tcPr>
            <w:tcW w:w="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20" w:type="dxa"/>
            <w:vAlign w:val="bottom"/>
            <w:gridSpan w:val="2"/>
          </w:tcPr>
          <w:p>
            <w:pPr>
              <w:jc w:val="center"/>
              <w:ind w:right="720"/>
              <w:spacing w:after="0" w:line="140" w:lineRule="exact"/>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7"/>
        </w:trPr>
        <w:tc>
          <w:tcPr>
            <w:tcW w:w="11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5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r>
      <w:tr>
        <w:trPr>
          <w:trHeight w:val="297"/>
        </w:trPr>
        <w:tc>
          <w:tcPr>
            <w:tcW w:w="476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150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PRAX</w:t>
            </w:r>
          </w:p>
        </w:tc>
        <w:tc>
          <w:tcPr>
            <w:tcW w:w="3500" w:type="dxa"/>
            <w:vAlign w:val="bottom"/>
            <w:gridSpan w:val="3"/>
          </w:tcPr>
          <w:p>
            <w:pPr>
              <w:jc w:val="center"/>
              <w:ind w:left="799"/>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r>
    </w:tbl>
    <w:p>
      <w:pPr>
        <w:spacing w:after="0" w:line="279"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wp:posOffset>
            </wp:positionH>
            <wp:positionV relativeFrom="paragraph">
              <wp:posOffset>334010</wp:posOffset>
            </wp:positionV>
            <wp:extent cx="69862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360045</wp:posOffset>
            </wp:positionV>
            <wp:extent cx="69862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ectPr>
          <w:pgSz w:w="11900" w:h="16838" w:orient="portrait"/>
          <w:cols w:equalWidth="0" w:num="1">
            <w:col w:w="11080"/>
          </w:cols>
          <w:pgMar w:left="320" w:top="1440" w:right="499" w:bottom="379"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June 10, 2026, Praxis Precision Medicines, Inc. (the “Company”) held its 2026 Annual Meeting of Stockholders (the “Annual Meeting”), at which a quorum was present. The Company held its Annual Meeting to consider and vote on the three proposals set forth below, each of which is described in greater detail in the Company’s Definitive Proxy Statement on Schedule 14A filed with the Securities and Exchange Commission on April 30, 2026. The final voting results are set forth below.</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1 – Election of Class III Directors</w:t>
      </w:r>
    </w:p>
    <w:p>
      <w:pPr>
        <w:spacing w:after="0" w:line="1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stockholders elected Gregory Norden, Marcio Souza and William Young to serve as Class III members of the Board of Directors of the Company until the Company’s 2029 annual meeting of stockholders and until their respective successors are duly elected and qualified, or until their earlier death, resignation or removal, with the votes cast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Class III Director Nominees</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36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w:t>
            </w:r>
          </w:p>
        </w:tc>
      </w:tr>
      <w:tr>
        <w:trPr>
          <w:trHeight w:val="27"/>
        </w:trPr>
        <w:tc>
          <w:tcPr>
            <w:tcW w:w="4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Gregory Norden</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24,597,327</w:t>
            </w:r>
          </w:p>
        </w:tc>
        <w:tc>
          <w:tcPr>
            <w:tcW w:w="12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310,937</w:t>
            </w: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1,815,967</w:t>
            </w:r>
          </w:p>
        </w:tc>
      </w:tr>
      <w:tr>
        <w:trPr>
          <w:trHeight w:val="24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Marcio Souza</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24,771,396</w:t>
            </w:r>
          </w:p>
        </w:tc>
        <w:tc>
          <w:tcPr>
            <w:tcW w:w="12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136,868</w:t>
            </w:r>
          </w:p>
        </w:tc>
        <w:tc>
          <w:tcPr>
            <w:tcW w:w="12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1,815,967</w:t>
            </w:r>
          </w:p>
        </w:tc>
      </w:tr>
      <w:tr>
        <w:trPr>
          <w:trHeight w:val="27"/>
        </w:trPr>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43"/>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Young</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21,293,535</w:t>
            </w:r>
          </w:p>
        </w:tc>
        <w:tc>
          <w:tcPr>
            <w:tcW w:w="120" w:type="dxa"/>
            <w:vAlign w:val="bottom"/>
            <w:shd w:val="clear" w:color="auto" w:fill="CCEEFF"/>
          </w:tcPr>
          <w:p>
            <w:pPr>
              <w:spacing w:after="0"/>
              <w:rPr>
                <w:sz w:val="21"/>
                <w:szCs w:val="21"/>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3,614,729</w:t>
            </w:r>
          </w:p>
        </w:tc>
        <w:tc>
          <w:tcPr>
            <w:tcW w:w="120" w:type="dxa"/>
            <w:vAlign w:val="bottom"/>
            <w:shd w:val="clear" w:color="auto" w:fill="CCEEFF"/>
          </w:tcPr>
          <w:p>
            <w:pPr>
              <w:spacing w:after="0"/>
              <w:rPr>
                <w:sz w:val="21"/>
                <w:szCs w:val="21"/>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1,815,967</w:t>
            </w:r>
          </w:p>
        </w:tc>
      </w:tr>
      <w:tr>
        <w:trPr>
          <w:trHeight w:val="27"/>
        </w:trPr>
        <w:tc>
          <w:tcPr>
            <w:tcW w:w="4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2 – Ratification of Appointment of Ernst &amp; Young LLP as the Company’s Independent Registered Public Accounting Firm</w:t>
      </w:r>
    </w:p>
    <w:p>
      <w:pPr>
        <w:spacing w:after="0" w:line="11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Ernst &amp; Young LLP as the Company’s independent registered public accounting firm for the fiscal year ending December 31, 2026, with the votes cast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w:t>
            </w:r>
          </w:p>
        </w:tc>
      </w:tr>
      <w:tr>
        <w:trPr>
          <w:trHeight w:val="27"/>
        </w:trPr>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37"/>
        </w:trPr>
        <w:tc>
          <w:tcPr>
            <w:tcW w:w="272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26,667,376</w:t>
            </w:r>
          </w:p>
        </w:tc>
        <w:tc>
          <w:tcPr>
            <w:tcW w:w="120" w:type="dxa"/>
            <w:vAlign w:val="bottom"/>
            <w:shd w:val="clear" w:color="auto" w:fill="CCEEFF"/>
          </w:tcPr>
          <w:p>
            <w:pPr>
              <w:spacing w:after="0"/>
              <w:rPr>
                <w:sz w:val="20"/>
                <w:szCs w:val="20"/>
                <w:color w:val="auto"/>
              </w:rPr>
            </w:pPr>
          </w:p>
        </w:tc>
        <w:tc>
          <w:tcPr>
            <w:tcW w:w="27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39,285</w:t>
            </w:r>
          </w:p>
        </w:tc>
        <w:tc>
          <w:tcPr>
            <w:tcW w:w="120" w:type="dxa"/>
            <w:vAlign w:val="bottom"/>
            <w:shd w:val="clear" w:color="auto" w:fill="CCEEFF"/>
          </w:tcPr>
          <w:p>
            <w:pPr>
              <w:spacing w:after="0"/>
              <w:rPr>
                <w:sz w:val="20"/>
                <w:szCs w:val="20"/>
                <w:color w:val="auto"/>
              </w:rPr>
            </w:pPr>
          </w:p>
        </w:tc>
        <w:tc>
          <w:tcPr>
            <w:tcW w:w="27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17,570</w:t>
            </w:r>
          </w:p>
        </w:tc>
        <w:tc>
          <w:tcPr>
            <w:tcW w:w="120" w:type="dxa"/>
            <w:vAlign w:val="bottom"/>
            <w:shd w:val="clear" w:color="auto" w:fill="CCEEFF"/>
          </w:tcPr>
          <w:p>
            <w:pPr>
              <w:spacing w:after="0"/>
              <w:rPr>
                <w:sz w:val="20"/>
                <w:szCs w:val="20"/>
                <w:color w:val="auto"/>
              </w:rPr>
            </w:pPr>
          </w:p>
        </w:tc>
        <w:tc>
          <w:tcPr>
            <w:tcW w:w="2720" w:type="dxa"/>
            <w:vAlign w:val="bottom"/>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0</w:t>
            </w:r>
          </w:p>
        </w:tc>
      </w:tr>
      <w:tr>
        <w:trPr>
          <w:trHeight w:val="27"/>
        </w:trPr>
        <w:tc>
          <w:tcPr>
            <w:tcW w:w="2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3 – Advisory Vote on Executive Compensation</w:t>
      </w:r>
    </w:p>
    <w:p>
      <w:pPr>
        <w:spacing w:after="0" w:line="11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on an advisory (non-binding) basis, the compensation of the Company’s named executive officers, with the votes cast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w:t>
            </w:r>
          </w:p>
        </w:tc>
      </w:tr>
      <w:tr>
        <w:trPr>
          <w:trHeight w:val="27"/>
        </w:trPr>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37"/>
        </w:trPr>
        <w:tc>
          <w:tcPr>
            <w:tcW w:w="272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24,054,017</w:t>
            </w:r>
          </w:p>
        </w:tc>
        <w:tc>
          <w:tcPr>
            <w:tcW w:w="120" w:type="dxa"/>
            <w:vAlign w:val="bottom"/>
            <w:shd w:val="clear" w:color="auto" w:fill="CCEEFF"/>
          </w:tcPr>
          <w:p>
            <w:pPr>
              <w:spacing w:after="0"/>
              <w:rPr>
                <w:sz w:val="20"/>
                <w:szCs w:val="20"/>
                <w:color w:val="auto"/>
              </w:rPr>
            </w:pPr>
          </w:p>
        </w:tc>
        <w:tc>
          <w:tcPr>
            <w:tcW w:w="272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824,318</w:t>
            </w:r>
          </w:p>
        </w:tc>
        <w:tc>
          <w:tcPr>
            <w:tcW w:w="120" w:type="dxa"/>
            <w:vAlign w:val="bottom"/>
            <w:shd w:val="clear" w:color="auto" w:fill="CCEEFF"/>
          </w:tcPr>
          <w:p>
            <w:pPr>
              <w:spacing w:after="0"/>
              <w:rPr>
                <w:sz w:val="20"/>
                <w:szCs w:val="20"/>
                <w:color w:val="auto"/>
              </w:rPr>
            </w:pPr>
          </w:p>
        </w:tc>
        <w:tc>
          <w:tcPr>
            <w:tcW w:w="27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29,929</w:t>
            </w:r>
          </w:p>
        </w:tc>
        <w:tc>
          <w:tcPr>
            <w:tcW w:w="120" w:type="dxa"/>
            <w:vAlign w:val="bottom"/>
            <w:shd w:val="clear" w:color="auto" w:fill="CCEEFF"/>
          </w:tcPr>
          <w:p>
            <w:pPr>
              <w:spacing w:after="0"/>
              <w:rPr>
                <w:sz w:val="20"/>
                <w:szCs w:val="20"/>
                <w:color w:val="auto"/>
              </w:rPr>
            </w:pPr>
          </w:p>
        </w:tc>
        <w:tc>
          <w:tcPr>
            <w:tcW w:w="27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1,815,967</w:t>
            </w:r>
          </w:p>
        </w:tc>
      </w:tr>
      <w:tr>
        <w:trPr>
          <w:trHeight w:val="27"/>
        </w:trPr>
        <w:tc>
          <w:tcPr>
            <w:tcW w:w="2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matters were submitted to or voted on by the Company’s stockholders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PRAXIS PRECISION MEDICINES, INC.</w:t>
      </w:r>
    </w:p>
    <w:p>
      <w:pPr>
        <w:spacing w:after="0" w:line="333" w:lineRule="exact"/>
        <w:rPr>
          <w:sz w:val="20"/>
          <w:szCs w:val="20"/>
          <w:color w:val="auto"/>
        </w:rPr>
      </w:pPr>
    </w:p>
    <w:p>
      <w:pPr>
        <w:ind w:left="20"/>
        <w:spacing w:after="0"/>
        <w:tabs>
          <w:tab w:leader="none" w:pos="5680" w:val="left"/>
          <w:tab w:leader="none" w:pos="6300" w:val="left"/>
        </w:tabs>
        <w:rPr>
          <w:sz w:val="20"/>
          <w:szCs w:val="20"/>
          <w:color w:val="auto"/>
        </w:rPr>
      </w:pPr>
      <w:r>
        <w:rPr>
          <w:rFonts w:ascii="Times New Roman" w:cs="Times New Roman" w:eastAsia="Times New Roman" w:hAnsi="Times New Roman"/>
          <w:sz w:val="18"/>
          <w:szCs w:val="18"/>
          <w:color w:val="auto"/>
        </w:rPr>
        <w:t>Date: June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34290</wp:posOffset>
            </wp:positionV>
            <wp:extent cx="31375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Marcio Souza</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Chief Executive Officer</w:t>
      </w:r>
    </w:p>
    <w:sectPr>
      <w:pgSz w:w="11900" w:h="16838" w:orient="portrait"/>
      <w:cols w:equalWidth="0" w:num="1">
        <w:col w:w="11200"/>
      </w:cols>
      <w:pgMar w:left="320" w:top="76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2026-06-12T16:00:22Z</dcterms:created>
  <dcterms:modified xsi:type="dcterms:W3CDTF">2026-06-12T16:00:22Z</dcterms:modified>
</cp:coreProperties>
</file>