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79375</wp:posOffset>
            </wp:positionV>
            <wp:extent cx="600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135890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hanging="414"/>
        <w:spacing w:after="0" w:line="218" w:lineRule="auto"/>
        <w:tabs>
          <w:tab w:leader="none" w:pos="4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307"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1440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86360</wp:posOffset>
            </wp:positionV>
            <wp:extent cx="60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PRAXIS PRECISION MEDICINES,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117475</wp:posOffset>
            </wp:positionV>
            <wp:extent cx="600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86" w:lineRule="exact"/>
        <w:rPr>
          <w:sz w:val="24"/>
          <w:szCs w:val="24"/>
          <w:color w:val="auto"/>
        </w:rPr>
      </w:pPr>
    </w:p>
    <w:tbl>
      <w:tblPr>
        <w:tblLayout w:type="fixed"/>
        <w:tblInd w:w="700" w:type="dxa"/>
        <w:tblCellMar>
          <w:top w:w="0" w:type="dxa"/>
          <w:left w:w="0" w:type="dxa"/>
          <w:bottom w:w="0" w:type="dxa"/>
          <w:right w:w="0" w:type="dxa"/>
        </w:tblCellMar>
      </w:tblPr>
      <w:tr>
        <w:trPr>
          <w:trHeight w:val="223"/>
        </w:trPr>
        <w:tc>
          <w:tcPr>
            <w:tcW w:w="5280" w:type="dxa"/>
            <w:vAlign w:val="bottom"/>
          </w:tcPr>
          <w:p>
            <w:pPr>
              <w:jc w:val="center"/>
              <w:ind w:right="1143"/>
              <w:spacing w:after="0"/>
              <w:rPr>
                <w:sz w:val="20"/>
                <w:szCs w:val="20"/>
                <w:color w:val="auto"/>
              </w:rPr>
            </w:pPr>
            <w:r>
              <w:rPr>
                <w:rFonts w:ascii="Arial" w:cs="Arial" w:eastAsia="Arial" w:hAnsi="Arial"/>
                <w:sz w:val="16"/>
                <w:szCs w:val="16"/>
                <w:b w:val="1"/>
                <w:bCs w:val="1"/>
                <w:color w:val="auto"/>
                <w:w w:val="99"/>
              </w:rPr>
              <w:t>Delaware</w:t>
            </w:r>
          </w:p>
        </w:tc>
        <w:tc>
          <w:tcPr>
            <w:tcW w:w="3860" w:type="dxa"/>
            <w:vAlign w:val="bottom"/>
          </w:tcPr>
          <w:p>
            <w:pPr>
              <w:jc w:val="right"/>
              <w:ind w:right="821"/>
              <w:spacing w:after="0"/>
              <w:rPr>
                <w:sz w:val="20"/>
                <w:szCs w:val="20"/>
                <w:color w:val="auto"/>
              </w:rPr>
            </w:pPr>
            <w:r>
              <w:rPr>
                <w:rFonts w:ascii="Arial" w:cs="Arial" w:eastAsia="Arial" w:hAnsi="Arial"/>
                <w:sz w:val="16"/>
                <w:szCs w:val="16"/>
                <w:b w:val="1"/>
                <w:bCs w:val="1"/>
                <w:color w:val="auto"/>
              </w:rPr>
              <w:t>47-5195942</w:t>
            </w:r>
          </w:p>
        </w:tc>
      </w:tr>
      <w:tr>
        <w:trPr>
          <w:trHeight w:val="229"/>
        </w:trPr>
        <w:tc>
          <w:tcPr>
            <w:tcW w:w="5280" w:type="dxa"/>
            <w:vAlign w:val="bottom"/>
          </w:tcPr>
          <w:p>
            <w:pPr>
              <w:jc w:val="center"/>
              <w:ind w:right="114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860" w:type="dxa"/>
            <w:vAlign w:val="bottom"/>
          </w:tcPr>
          <w:p>
            <w:pPr>
              <w:jc w:val="center"/>
              <w:ind w:left="1121"/>
              <w:spacing w:after="0"/>
              <w:rPr>
                <w:sz w:val="20"/>
                <w:szCs w:val="20"/>
                <w:color w:val="auto"/>
              </w:rPr>
            </w:pPr>
            <w:r>
              <w:rPr>
                <w:rFonts w:ascii="Arial" w:cs="Arial" w:eastAsia="Arial" w:hAnsi="Arial"/>
                <w:sz w:val="16"/>
                <w:szCs w:val="16"/>
                <w:b w:val="1"/>
                <w:bCs w:val="1"/>
                <w:color w:val="auto"/>
              </w:rPr>
              <w:t>(I.R.S. Employer Identification No.)</w:t>
            </w:r>
          </w:p>
        </w:tc>
      </w:tr>
      <w:tr>
        <w:trPr>
          <w:trHeight w:val="317"/>
        </w:trPr>
        <w:tc>
          <w:tcPr>
            <w:tcW w:w="5280" w:type="dxa"/>
            <w:vAlign w:val="bottom"/>
          </w:tcPr>
          <w:p>
            <w:pPr>
              <w:jc w:val="center"/>
              <w:ind w:right="1163"/>
              <w:spacing w:after="0"/>
              <w:rPr>
                <w:sz w:val="20"/>
                <w:szCs w:val="20"/>
                <w:color w:val="auto"/>
              </w:rPr>
            </w:pPr>
            <w:r>
              <w:rPr>
                <w:rFonts w:ascii="Arial" w:cs="Arial" w:eastAsia="Arial" w:hAnsi="Arial"/>
                <w:sz w:val="16"/>
                <w:szCs w:val="16"/>
                <w:b w:val="1"/>
                <w:bCs w:val="1"/>
                <w:color w:val="auto"/>
              </w:rPr>
              <w:t>99 High Street, 30th Floor</w:t>
            </w:r>
          </w:p>
        </w:tc>
        <w:tc>
          <w:tcPr>
            <w:tcW w:w="3860" w:type="dxa"/>
            <w:vAlign w:val="bottom"/>
          </w:tcPr>
          <w:p>
            <w:pPr>
              <w:spacing w:after="0"/>
              <w:rPr>
                <w:sz w:val="24"/>
                <w:szCs w:val="24"/>
                <w:color w:val="auto"/>
              </w:rPr>
            </w:pPr>
          </w:p>
        </w:tc>
      </w:tr>
      <w:tr>
        <w:trPr>
          <w:trHeight w:val="221"/>
        </w:trPr>
        <w:tc>
          <w:tcPr>
            <w:tcW w:w="5280" w:type="dxa"/>
            <w:vAlign w:val="bottom"/>
          </w:tcPr>
          <w:p>
            <w:pPr>
              <w:jc w:val="center"/>
              <w:ind w:right="1143"/>
              <w:spacing w:after="0"/>
              <w:rPr>
                <w:sz w:val="20"/>
                <w:szCs w:val="20"/>
                <w:color w:val="auto"/>
              </w:rPr>
            </w:pPr>
            <w:r>
              <w:rPr>
                <w:rFonts w:ascii="Arial" w:cs="Arial" w:eastAsia="Arial" w:hAnsi="Arial"/>
                <w:sz w:val="16"/>
                <w:szCs w:val="16"/>
                <w:b w:val="1"/>
                <w:bCs w:val="1"/>
                <w:color w:val="auto"/>
              </w:rPr>
              <w:t>Boston, MA</w:t>
            </w:r>
          </w:p>
        </w:tc>
        <w:tc>
          <w:tcPr>
            <w:tcW w:w="3860" w:type="dxa"/>
            <w:vAlign w:val="bottom"/>
          </w:tcPr>
          <w:p>
            <w:pPr>
              <w:jc w:val="right"/>
              <w:ind w:right="1041"/>
              <w:spacing w:after="0"/>
              <w:rPr>
                <w:sz w:val="20"/>
                <w:szCs w:val="20"/>
                <w:color w:val="auto"/>
              </w:rPr>
            </w:pPr>
            <w:r>
              <w:rPr>
                <w:rFonts w:ascii="Arial" w:cs="Arial" w:eastAsia="Arial" w:hAnsi="Arial"/>
                <w:sz w:val="16"/>
                <w:szCs w:val="16"/>
                <w:b w:val="1"/>
                <w:bCs w:val="1"/>
                <w:color w:val="auto"/>
              </w:rPr>
              <w:t>02110</w:t>
            </w:r>
          </w:p>
        </w:tc>
      </w:tr>
      <w:tr>
        <w:trPr>
          <w:trHeight w:val="196"/>
        </w:trPr>
        <w:tc>
          <w:tcPr>
            <w:tcW w:w="5280" w:type="dxa"/>
            <w:vAlign w:val="bottom"/>
          </w:tcPr>
          <w:p>
            <w:pPr>
              <w:jc w:val="center"/>
              <w:ind w:right="1143"/>
              <w:spacing w:after="0"/>
              <w:rPr>
                <w:sz w:val="20"/>
                <w:szCs w:val="20"/>
                <w:color w:val="auto"/>
              </w:rPr>
            </w:pPr>
            <w:r>
              <w:rPr>
                <w:rFonts w:ascii="Arial" w:cs="Arial" w:eastAsia="Arial" w:hAnsi="Arial"/>
                <w:sz w:val="14"/>
                <w:szCs w:val="14"/>
                <w:b w:val="1"/>
                <w:bCs w:val="1"/>
                <w:color w:val="auto"/>
              </w:rPr>
              <w:t>(Address of principal executive offices)</w:t>
            </w:r>
          </w:p>
        </w:tc>
        <w:tc>
          <w:tcPr>
            <w:tcW w:w="3860" w:type="dxa"/>
            <w:vAlign w:val="bottom"/>
          </w:tcPr>
          <w:p>
            <w:pPr>
              <w:jc w:val="center"/>
              <w:ind w:left="1121"/>
              <w:spacing w:after="0"/>
              <w:rPr>
                <w:sz w:val="20"/>
                <w:szCs w:val="20"/>
                <w:color w:val="auto"/>
              </w:rPr>
            </w:pPr>
            <w:r>
              <w:rPr>
                <w:rFonts w:ascii="Arial" w:cs="Arial" w:eastAsia="Arial" w:hAnsi="Arial"/>
                <w:sz w:val="14"/>
                <w:szCs w:val="14"/>
                <w:b w:val="1"/>
                <w:bCs w:val="1"/>
                <w:color w:val="auto"/>
              </w:rPr>
              <w:t>(Zip Code)</w:t>
            </w:r>
          </w:p>
        </w:tc>
      </w:tr>
    </w:tbl>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617-300-8460</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94615</wp:posOffset>
            </wp:positionV>
            <wp:extent cx="600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0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PRAX</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445"/>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 w:firstLine="445"/>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84" w:lineRule="exact"/>
        <w:tabs>
          <w:tab w:leader="none" w:pos="56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01" w:lineRule="exact"/>
        <w:rPr>
          <w:sz w:val="24"/>
          <w:szCs w:val="24"/>
          <w:color w:val="auto"/>
        </w:rPr>
      </w:pPr>
    </w:p>
    <w:p>
      <w:pPr>
        <w:ind w:right="140" w:firstLine="445"/>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0" w:lineRule="exact"/>
        <w:rPr>
          <w:sz w:val="24"/>
          <w:szCs w:val="24"/>
          <w:color w:val="auto"/>
        </w:rPr>
      </w:pPr>
    </w:p>
    <w:p>
      <w:pPr>
        <w:ind w:right="220" w:firstLine="445"/>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460" w:right="148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 2024, the registrant had 18,637,777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2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980" w:right="30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98" w:lineRule="exact"/>
        <w:rPr>
          <w:rFonts w:ascii="Arial" w:cs="Arial" w:eastAsia="Arial" w:hAnsi="Arial"/>
          <w:sz w:val="18"/>
          <w:szCs w:val="18"/>
          <w:color w:val="auto"/>
        </w:rPr>
      </w:pPr>
    </w:p>
    <w:p>
      <w:pPr>
        <w:ind w:left="980" w:right="38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 light of the intellectual property rights of others;</w:t>
      </w:r>
    </w:p>
    <w:p>
      <w:pPr>
        <w:spacing w:after="0" w:line="171" w:lineRule="exact"/>
        <w:rPr>
          <w:rFonts w:ascii="Arial" w:cs="Arial" w:eastAsia="Arial" w:hAnsi="Arial"/>
          <w:sz w:val="18"/>
          <w:szCs w:val="18"/>
          <w:color w:val="auto"/>
        </w:rPr>
      </w:pPr>
    </w:p>
    <w:p>
      <w:pPr>
        <w:ind w:left="980" w:right="32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if approved, commercialization of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if approved, commercialize our product candidates;</w:t>
      </w:r>
    </w:p>
    <w:p>
      <w:pPr>
        <w:spacing w:after="0" w:line="171" w:lineRule="exact"/>
        <w:rPr>
          <w:rFonts w:ascii="Arial" w:cs="Arial" w:eastAsia="Arial" w:hAnsi="Arial"/>
          <w:sz w:val="18"/>
          <w:szCs w:val="18"/>
          <w:color w:val="auto"/>
        </w:rPr>
      </w:pPr>
    </w:p>
    <w:p>
      <w:pPr>
        <w:ind w:left="980" w:right="36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if approved, and any other approved product;</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5"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in our Annual Report on Form 10-K for the year ended December 31, 2023. If one or more of these risks or uncertainties occur, or if our underlying assumptions prove to be incorrect, actual events or results may vary significantly from those implied or projected by the forward-looking statements. No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ind w:right="180"/>
        <w:spacing w:after="0" w:line="262" w:lineRule="auto"/>
        <w:rPr>
          <w:sz w:val="20"/>
          <w:szCs w:val="20"/>
          <w:color w:val="auto"/>
        </w:rPr>
      </w:pPr>
      <w:r>
        <w:rPr>
          <w:rFonts w:ascii="Arial" w:cs="Arial" w:eastAsia="Arial" w:hAnsi="Arial"/>
          <w:sz w:val="18"/>
          <w:szCs w:val="18"/>
          <w:color w:val="auto"/>
        </w:rPr>
        <w:t>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179"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560" w:type="dxa"/>
            <w:vAlign w:val="bottom"/>
            <w:gridSpan w:val="21"/>
            <w:vMerge w:val="restart"/>
          </w:tcPr>
          <w:p>
            <w:pPr>
              <w:spacing w:after="0"/>
              <w:rPr>
                <w:sz w:val="20"/>
                <w:szCs w:val="20"/>
                <w:color w:val="auto"/>
              </w:rPr>
            </w:pPr>
            <w:r>
              <w:rPr>
                <w:rFonts w:ascii="Arial" w:cs="Arial" w:eastAsia="Arial" w:hAnsi="Arial"/>
                <w:sz w:val="18"/>
                <w:szCs w:val="18"/>
                <w:color w:val="0000FF"/>
              </w:rPr>
              <w:t>FINANCIAL INFORMATION</w:t>
            </w:r>
          </w:p>
        </w:tc>
        <w:tc>
          <w:tcPr>
            <w:tcW w:w="1500" w:type="dxa"/>
            <w:vAlign w:val="bottom"/>
            <w:gridSpan w:val="5"/>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0"/>
        </w:trPr>
        <w:tc>
          <w:tcPr>
            <w:tcW w:w="1180" w:type="dxa"/>
            <w:vAlign w:val="bottom"/>
            <w:vMerge w:val="continue"/>
          </w:tcPr>
          <w:p>
            <w:pPr>
              <w:spacing w:after="0"/>
              <w:rPr>
                <w:sz w:val="14"/>
                <w:szCs w:val="14"/>
                <w:color w:val="auto"/>
              </w:rPr>
            </w:pPr>
          </w:p>
        </w:tc>
        <w:tc>
          <w:tcPr>
            <w:tcW w:w="8560" w:type="dxa"/>
            <w:vAlign w:val="bottom"/>
            <w:gridSpan w:val="21"/>
            <w:vMerge w:val="continue"/>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Financial Statements (Unaudited)</w:t>
            </w:r>
          </w:p>
        </w:tc>
        <w:tc>
          <w:tcPr>
            <w:tcW w:w="5880" w:type="dxa"/>
            <w:vAlign w:val="bottom"/>
            <w:gridSpan w:val="9"/>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7440" w:type="dxa"/>
            <w:vAlign w:val="bottom"/>
            <w:gridSpan w:val="17"/>
          </w:tcPr>
          <w:p>
            <w:pPr>
              <w:spacing w:after="0"/>
              <w:rPr>
                <w:sz w:val="20"/>
                <w:szCs w:val="20"/>
                <w:color w:val="auto"/>
              </w:rPr>
            </w:pPr>
            <w:r>
              <w:rPr>
                <w:rFonts w:ascii="Arial" w:cs="Arial" w:eastAsia="Arial" w:hAnsi="Arial"/>
                <w:sz w:val="18"/>
                <w:szCs w:val="18"/>
                <w:color w:val="0000FF"/>
                <w:w w:val="99"/>
              </w:rPr>
              <w:t>Condensed Consolidated Balance Sheets as of September 30, 2024 and December 31, 2023</w:t>
            </w:r>
          </w:p>
        </w:tc>
        <w:tc>
          <w:tcPr>
            <w:tcW w:w="1120" w:type="dxa"/>
            <w:vAlign w:val="bottom"/>
            <w:gridSpan w:val="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 for the Three and Nine Months Ended September 30,</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840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2024 and 2023</w:t>
            </w: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1"/>
          </w:tcPr>
          <w:p>
            <w:pPr>
              <w:spacing w:after="0" w:line="203" w:lineRule="exact"/>
              <w:rPr>
                <w:sz w:val="20"/>
                <w:szCs w:val="20"/>
                <w:color w:val="auto"/>
              </w:rPr>
            </w:pPr>
            <w:r>
              <w:rPr>
                <w:rFonts w:ascii="Arial" w:cs="Arial" w:eastAsia="Arial" w:hAnsi="Arial"/>
                <w:sz w:val="18"/>
                <w:szCs w:val="18"/>
                <w:color w:val="0000FF"/>
              </w:rPr>
              <w:t>Condensed Consolidated Statements of Comprehensive Loss for the Three and Nine Months Ended</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46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September 30, 2024 and 2023</w:t>
            </w:r>
          </w:p>
        </w:tc>
        <w:tc>
          <w:tcPr>
            <w:tcW w:w="5520" w:type="dxa"/>
            <w:vAlign w:val="bottom"/>
            <w:tcBorders>
              <w:top w:val="single" w:sz="8" w:color="0000FF"/>
            </w:tcBorders>
            <w:gridSpan w:val="9"/>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1"/>
          </w:tcPr>
          <w:p>
            <w:pPr>
              <w:spacing w:after="0" w:line="203" w:lineRule="exact"/>
              <w:rPr>
                <w:sz w:val="20"/>
                <w:szCs w:val="20"/>
                <w:color w:val="auto"/>
              </w:rPr>
            </w:pPr>
            <w:r>
              <w:rPr>
                <w:rFonts w:ascii="Arial" w:cs="Arial" w:eastAsia="Arial" w:hAnsi="Arial"/>
                <w:sz w:val="18"/>
                <w:szCs w:val="18"/>
                <w:color w:val="0000FF"/>
              </w:rPr>
              <w:t>Condensed Consolidated Statements of Stockholders’ Equity for the Three and Nine Months Ended</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September 30, 2024 and 2023</w:t>
            </w:r>
          </w:p>
        </w:tc>
        <w:tc>
          <w:tcPr>
            <w:tcW w:w="10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560" w:type="dxa"/>
            <w:vAlign w:val="bottom"/>
            <w:gridSpan w:val="21"/>
            <w:vMerge w:val="restart"/>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2024 and</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1"/>
            <w:vMerge w:val="continue"/>
          </w:tcPr>
          <w:p>
            <w:pPr>
              <w:spacing w:after="0"/>
              <w:rPr>
                <w:sz w:val="17"/>
                <w:szCs w:val="17"/>
                <w:color w:val="auto"/>
              </w:rPr>
            </w:pP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00" w:type="dxa"/>
            <w:vAlign w:val="bottom"/>
            <w:tcBorders>
              <w:top w:val="single" w:sz="8" w:color="0000FF"/>
            </w:tcBorders>
          </w:tcPr>
          <w:p>
            <w:pPr>
              <w:spacing w:after="0" w:line="142" w:lineRule="exact"/>
              <w:rPr>
                <w:sz w:val="20"/>
                <w:szCs w:val="20"/>
                <w:color w:val="auto"/>
              </w:rPr>
            </w:pPr>
            <w:r>
              <w:rPr>
                <w:rFonts w:ascii="Arial" w:cs="Arial" w:eastAsia="Arial" w:hAnsi="Arial"/>
                <w:sz w:val="16"/>
                <w:szCs w:val="16"/>
                <w:color w:val="0000FF"/>
              </w:rPr>
              <w:t>2023</w:t>
            </w:r>
          </w:p>
        </w:tc>
        <w:tc>
          <w:tcPr>
            <w:tcW w:w="2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gridSpan w:val="5"/>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Pr>
          <w:p>
            <w:pPr>
              <w:spacing w:after="0"/>
              <w:rPr>
                <w:sz w:val="18"/>
                <w:szCs w:val="18"/>
                <w:color w:val="auto"/>
              </w:rPr>
            </w:pPr>
          </w:p>
        </w:tc>
        <w:tc>
          <w:tcPr>
            <w:tcW w:w="4480" w:type="dxa"/>
            <w:vAlign w:val="bottom"/>
            <w:gridSpan w:val="13"/>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4080" w:type="dxa"/>
            <w:vAlign w:val="bottom"/>
            <w:gridSpan w:val="8"/>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856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4720" w:type="dxa"/>
            <w:vAlign w:val="bottom"/>
            <w:gridSpan w:val="14"/>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2"/>
          </w:tcPr>
          <w:p>
            <w:pPr>
              <w:spacing w:after="0"/>
              <w:rPr>
                <w:sz w:val="18"/>
                <w:szCs w:val="18"/>
                <w:color w:val="auto"/>
              </w:rPr>
            </w:pPr>
          </w:p>
        </w:tc>
        <w:tc>
          <w:tcPr>
            <w:tcW w:w="1480" w:type="dxa"/>
            <w:vAlign w:val="bottom"/>
            <w:gridSpan w:val="5"/>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6"/>
          </w:tcPr>
          <w:p>
            <w:pPr>
              <w:spacing w:after="0"/>
              <w:rPr>
                <w:sz w:val="18"/>
                <w:szCs w:val="18"/>
                <w:color w:val="auto"/>
              </w:rPr>
            </w:pPr>
          </w:p>
        </w:tc>
        <w:tc>
          <w:tcPr>
            <w:tcW w:w="3840" w:type="dxa"/>
            <w:vAlign w:val="bottom"/>
            <w:gridSpan w:val="7"/>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40" w:type="dxa"/>
            <w:vAlign w:val="bottom"/>
            <w:gridSpan w:val="8"/>
          </w:tcPr>
          <w:p>
            <w:pPr>
              <w:spacing w:after="0"/>
              <w:rPr>
                <w:sz w:val="20"/>
                <w:szCs w:val="20"/>
                <w:color w:val="auto"/>
              </w:rPr>
            </w:pPr>
            <w:r>
              <w:rPr>
                <w:rFonts w:ascii="Arial" w:cs="Arial" w:eastAsia="Arial" w:hAnsi="Arial"/>
                <w:sz w:val="18"/>
                <w:szCs w:val="18"/>
                <w:color w:val="0000FF"/>
                <w:w w:val="97"/>
              </w:rPr>
              <w:t>OTHER INFORMATION</w:t>
            </w:r>
          </w:p>
        </w:tc>
        <w:tc>
          <w:tcPr>
            <w:tcW w:w="662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440" w:type="dxa"/>
            <w:vAlign w:val="bottom"/>
          </w:tcPr>
          <w:p>
            <w:pPr>
              <w:spacing w:after="0"/>
              <w:rPr>
                <w:sz w:val="18"/>
                <w:szCs w:val="18"/>
                <w:color w:val="auto"/>
              </w:rPr>
            </w:pPr>
          </w:p>
        </w:tc>
        <w:tc>
          <w:tcPr>
            <w:tcW w:w="662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7060" w:type="dxa"/>
            <w:vAlign w:val="bottom"/>
            <w:gridSpan w:val="1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5"/>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2560" w:type="dxa"/>
            <w:vAlign w:val="bottom"/>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2300" w:type="dxa"/>
            <w:vAlign w:val="bottom"/>
            <w:gridSpan w:val="4"/>
          </w:tcPr>
          <w:p>
            <w:pPr>
              <w:spacing w:after="0"/>
              <w:rPr>
                <w:sz w:val="18"/>
                <w:szCs w:val="18"/>
                <w:color w:val="auto"/>
              </w:rPr>
            </w:pP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3"/>
          </w:tcPr>
          <w:p>
            <w:pPr>
              <w:spacing w:after="0"/>
              <w:rPr>
                <w:sz w:val="18"/>
                <w:szCs w:val="18"/>
                <w:color w:val="auto"/>
              </w:rPr>
            </w:pPr>
          </w:p>
        </w:tc>
        <w:tc>
          <w:tcPr>
            <w:tcW w:w="6000" w:type="dxa"/>
            <w:vAlign w:val="bottom"/>
            <w:gridSpan w:val="10"/>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5.</w:t>
            </w:r>
          </w:p>
        </w:tc>
        <w:tc>
          <w:tcPr>
            <w:tcW w:w="194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662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160" w:type="dxa"/>
            <w:vAlign w:val="bottom"/>
            <w:gridSpan w:val="1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7160" w:type="dxa"/>
            <w:vAlign w:val="bottom"/>
            <w:gridSpan w:val="15"/>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700" w:type="dxa"/>
            <w:vAlign w:val="bottom"/>
            <w:gridSpan w:val="1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856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118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81,300</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188,387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360,048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84,880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marketable securities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416,256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87,948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15,010</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5,815</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7,416</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deferred revenue</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32,861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15,749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Non-current portion of deferred revenue</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33,590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18,279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6)</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September 30, 2024 and December 31, 2023</w:t>
            </w:r>
          </w:p>
        </w:tc>
        <w:tc>
          <w:tcPr>
            <w:tcW w:w="1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60" w:type="dxa"/>
            <w:vAlign w:val="bottom"/>
          </w:tcPr>
          <w:p>
            <w:pPr>
              <w:ind w:left="240"/>
              <w:spacing w:after="0" w:line="162" w:lineRule="exact"/>
              <w:rPr>
                <w:sz w:val="20"/>
                <w:szCs w:val="20"/>
                <w:color w:val="auto"/>
              </w:rPr>
            </w:pPr>
            <w:r>
              <w:rPr>
                <w:rFonts w:ascii="Arial" w:cs="Arial" w:eastAsia="Arial" w:hAnsi="Arial"/>
                <w:sz w:val="16"/>
                <w:szCs w:val="16"/>
                <w:color w:val="auto"/>
              </w:rPr>
              <w:t>Common stock, $0.0001 par value; 150,000,000 shares authorized; 17,785,697 shares issued and</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60" w:type="dxa"/>
            <w:vAlign w:val="bottom"/>
          </w:tcPr>
          <w:p>
            <w:pPr>
              <w:ind w:left="240"/>
              <w:spacing w:after="0" w:line="162" w:lineRule="exact"/>
              <w:rPr>
                <w:sz w:val="20"/>
                <w:szCs w:val="20"/>
                <w:color w:val="auto"/>
              </w:rPr>
            </w:pPr>
            <w:r>
              <w:rPr>
                <w:rFonts w:ascii="Arial" w:cs="Arial" w:eastAsia="Arial" w:hAnsi="Arial"/>
                <w:sz w:val="16"/>
                <w:szCs w:val="16"/>
                <w:color w:val="auto"/>
              </w:rPr>
              <w:t>outstanding as of September 30, 2024, and 8,791,877 shares issued and outstanding as of December 31,</w:t>
            </w:r>
          </w:p>
        </w:tc>
        <w:tc>
          <w:tcPr>
            <w:tcW w:w="1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1,159,382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723,577</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Accumulated other comprehensive gain</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(778,061)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(653,921)</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382,666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69,669</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416,256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87,948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8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41,881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96,125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68,378</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41,174</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32,121</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57,137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137,299</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100,499</w:t>
            </w: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(56,835)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(136,209)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(98,567)</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12,069</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12,069</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210"/>
        </w:trPr>
        <w:tc>
          <w:tcPr>
            <w:tcW w:w="4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(51,910)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(124,140)</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(96,399)</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loss per share attributable to common stockholders, basic and</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1</w:t>
            </w: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tcPr>
          <w:p>
            <w:pPr>
              <w:ind w:left="20"/>
              <w:spacing w:after="0" w:line="190" w:lineRule="exact"/>
              <w:rPr>
                <w:sz w:val="20"/>
                <w:szCs w:val="20"/>
                <w:color w:val="auto"/>
              </w:rPr>
            </w:pPr>
            <w:r>
              <w:rPr>
                <w:rFonts w:ascii="Arial" w:cs="Arial" w:eastAsia="Arial" w:hAnsi="Arial"/>
                <w:sz w:val="16"/>
                <w:szCs w:val="16"/>
                <w:color w:val="auto"/>
              </w:rPr>
              <w:t>Weighted average common shares outstanding, basic and diluted</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18,884,562</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9,039,427</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17,210,604</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5,763,121</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80" w:hanging="72"/>
        <w:spacing w:after="0"/>
        <w:tabs>
          <w:tab w:leader="none" w:pos="80" w:val="left"/>
        </w:tabs>
        <w:numPr>
          <w:ilvl w:val="0"/>
          <w:numId w:val="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Results have been retroactively adjusted to reflect the 1-for-15 reverse stock split effected on November 28, 2023. See Note 2 for details.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8080" w:type="dxa"/>
            <w:vAlign w:val="bottom"/>
            <w:gridSpan w:val="7"/>
          </w:tcPr>
          <w:p>
            <w:pPr>
              <w:jc w:val="center"/>
              <w:ind w:left="3095"/>
              <w:spacing w:after="0"/>
              <w:rPr>
                <w:sz w:val="20"/>
                <w:szCs w:val="20"/>
                <w:color w:val="auto"/>
              </w:rPr>
            </w:pPr>
            <w:r>
              <w:rPr>
                <w:rFonts w:ascii="Arial" w:cs="Arial" w:eastAsia="Arial" w:hAnsi="Arial"/>
                <w:sz w:val="18"/>
                <w:szCs w:val="18"/>
                <w:b w:val="1"/>
                <w:bCs w:val="1"/>
                <w:color w:val="auto"/>
                <w:w w:val="99"/>
              </w:rPr>
              <w:t>PRAXIS PRECISION MEDICINES, INC.</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324"/>
        </w:trPr>
        <w:tc>
          <w:tcPr>
            <w:tcW w:w="9700" w:type="dxa"/>
            <w:vAlign w:val="bottom"/>
            <w:gridSpan w:val="10"/>
          </w:tcPr>
          <w:p>
            <w:pPr>
              <w:jc w:val="center"/>
              <w:ind w:left="1475"/>
              <w:spacing w:after="0"/>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(Unaudited)</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7040" w:type="dxa"/>
            <w:vAlign w:val="bottom"/>
            <w:gridSpan w:val="5"/>
          </w:tcPr>
          <w:p>
            <w:pPr>
              <w:jc w:val="center"/>
              <w:ind w:left="4115"/>
              <w:spacing w:after="0"/>
              <w:rPr>
                <w:sz w:val="20"/>
                <w:szCs w:val="20"/>
                <w:color w:val="auto"/>
              </w:rPr>
            </w:pPr>
            <w:r>
              <w:rPr>
                <w:rFonts w:ascii="Arial" w:cs="Arial" w:eastAsia="Arial" w:hAnsi="Arial"/>
                <w:sz w:val="18"/>
                <w:szCs w:val="18"/>
                <w:b w:val="1"/>
                <w:bCs w:val="1"/>
                <w:color w:val="auto"/>
              </w:rPr>
              <w:t>(Amounts in thousands)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8"/>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820" w:type="dxa"/>
            <w:vAlign w:val="bottom"/>
            <w:gridSpan w:val="4"/>
          </w:tcPr>
          <w:p>
            <w:pPr>
              <w:jc w:val="right"/>
              <w:ind w:right="659"/>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r>
      <w:tr>
        <w:trPr>
          <w:trHeight w:val="210"/>
        </w:trPr>
        <w:tc>
          <w:tcPr>
            <w:tcW w:w="4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(124,140)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(96,399)</w:t>
            </w: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Change in unrealized gain on marketable securities, net of tax</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1,402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35"/>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(96,226)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103505</wp:posOffset>
            </wp:positionV>
            <wp:extent cx="43973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980" w:type="dxa"/>
            <w:vAlign w:val="bottom"/>
            <w:gridSpan w:val="3"/>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320" w:type="dxa"/>
            <w:vAlign w:val="bottom"/>
          </w:tcPr>
          <w:p>
            <w:pPr>
              <w:spacing w:after="0"/>
              <w:rPr>
                <w:sz w:val="9"/>
                <w:szCs w:val="9"/>
                <w:color w:val="auto"/>
              </w:rPr>
            </w:pPr>
          </w:p>
        </w:tc>
        <w:tc>
          <w:tcPr>
            <w:tcW w:w="198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60"/>
              <w:spacing w:after="0" w:line="104"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9"/>
                <w:szCs w:val="9"/>
                <w:color w:val="auto"/>
              </w:rPr>
            </w:pPr>
          </w:p>
        </w:tc>
        <w:tc>
          <w:tcPr>
            <w:tcW w:w="1060" w:type="dxa"/>
            <w:vAlign w:val="bottom"/>
            <w:gridSpan w:val="2"/>
          </w:tcPr>
          <w:p>
            <w:pPr>
              <w:ind w:left="20"/>
              <w:spacing w:after="0" w:line="104" w:lineRule="exact"/>
              <w:rPr>
                <w:sz w:val="20"/>
                <w:szCs w:val="20"/>
                <w:color w:val="auto"/>
              </w:rPr>
            </w:pPr>
            <w:r>
              <w:rPr>
                <w:rFonts w:ascii="Arial" w:cs="Arial" w:eastAsia="Arial" w:hAnsi="Arial"/>
                <w:sz w:val="12"/>
                <w:szCs w:val="12"/>
                <w:b w:val="1"/>
                <w:bCs w:val="1"/>
                <w:color w:val="auto"/>
              </w:rPr>
              <w:t>Accumulated</w:t>
            </w:r>
          </w:p>
        </w:tc>
        <w:tc>
          <w:tcPr>
            <w:tcW w:w="1160" w:type="dxa"/>
            <w:vAlign w:val="bottom"/>
            <w:gridSpan w:val="3"/>
          </w:tcPr>
          <w:p>
            <w:pPr>
              <w:jc w:val="center"/>
              <w:ind w:right="80"/>
              <w:spacing w:after="0" w:line="104"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980" w:type="dxa"/>
            <w:vAlign w:val="bottom"/>
          </w:tcPr>
          <w:p>
            <w:pPr>
              <w:jc w:val="center"/>
              <w:ind w:right="57"/>
              <w:spacing w:after="0" w:line="10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Income (Loss)</w:t>
            </w:r>
          </w:p>
        </w:tc>
        <w:tc>
          <w:tcPr>
            <w:tcW w:w="12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8,791,877</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723,577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(653,921)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69,669</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14,475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14,475</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Issuance of common stock from follow-on public offering and accompanying</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pre-funded warrants, net of underwriting discounts, commissions and</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 of $10,836</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3,802,025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161,649</w:t>
            </w:r>
          </w:p>
        </w:tc>
        <w:tc>
          <w:tcPr>
            <w:tcW w:w="0" w:type="dxa"/>
            <w:vAlign w:val="bottom"/>
          </w:tcPr>
          <w:p>
            <w:pPr>
              <w:spacing w:after="0"/>
              <w:rPr>
                <w:sz w:val="1"/>
                <w:szCs w:val="1"/>
                <w:color w:val="auto"/>
              </w:rPr>
            </w:pPr>
          </w:p>
        </w:tc>
      </w:tr>
      <w:tr>
        <w:trPr>
          <w:trHeight w:val="122"/>
        </w:trPr>
        <w:tc>
          <w:tcPr>
            <w:tcW w:w="432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20"/>
              <w:spacing w:after="0"/>
              <w:rPr>
                <w:sz w:val="20"/>
                <w:szCs w:val="20"/>
                <w:color w:val="auto"/>
              </w:rPr>
            </w:pPr>
            <w:r>
              <w:rPr>
                <w:rFonts w:ascii="Arial" w:cs="Arial" w:eastAsia="Arial" w:hAnsi="Arial"/>
                <w:sz w:val="13"/>
                <w:szCs w:val="13"/>
                <w:color w:val="auto"/>
              </w:rPr>
              <w:t>issuance and commission costs of $376</w:t>
            </w:r>
          </w:p>
        </w:tc>
        <w:tc>
          <w:tcPr>
            <w:tcW w:w="1080" w:type="dxa"/>
            <w:vAlign w:val="bottom"/>
          </w:tcPr>
          <w:p>
            <w:pPr>
              <w:jc w:val="right"/>
              <w:spacing w:after="0"/>
              <w:rPr>
                <w:sz w:val="20"/>
                <w:szCs w:val="20"/>
                <w:color w:val="auto"/>
              </w:rPr>
            </w:pPr>
            <w:r>
              <w:rPr>
                <w:rFonts w:ascii="Arial" w:cs="Arial" w:eastAsia="Arial" w:hAnsi="Arial"/>
                <w:sz w:val="13"/>
                <w:szCs w:val="13"/>
                <w:color w:val="auto"/>
              </w:rPr>
              <w:t>209,852</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6,169</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from a collaboration and license agreement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443,253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17,265</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11,095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3,634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gain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(39,553)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(39,553)</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13,258,047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923,141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(693,474)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229,683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20" w:type="dxa"/>
            <w:vAlign w:val="bottom"/>
            <w:tcBorders>
              <w:top w:val="single" w:sz="8" w:color="CCEEFF"/>
            </w:tcBorders>
            <w:vMerge w:val="continue"/>
          </w:tcPr>
          <w:p>
            <w:pPr>
              <w:spacing w:after="0"/>
              <w:rPr>
                <w:sz w:val="12"/>
                <w:szCs w:val="12"/>
                <w:color w:val="auto"/>
              </w:rPr>
            </w:pPr>
          </w:p>
        </w:tc>
        <w:tc>
          <w:tcPr>
            <w:tcW w:w="10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5,878</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78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5,878</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Issuance of common stock from follow-on public offering and accompanying</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pre-funded warrants, net of underwriting discounts, commissions and</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 of $14,013</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3,849,558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215,988</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from exercise of pre-funded warrants</w:t>
            </w:r>
          </w:p>
        </w:tc>
        <w:tc>
          <w:tcPr>
            <w:tcW w:w="1080" w:type="dxa"/>
            <w:vAlign w:val="bottom"/>
          </w:tcPr>
          <w:p>
            <w:pPr>
              <w:jc w:val="right"/>
              <w:spacing w:after="0"/>
              <w:rPr>
                <w:sz w:val="20"/>
                <w:szCs w:val="20"/>
                <w:color w:val="auto"/>
              </w:rPr>
            </w:pPr>
            <w:r>
              <w:rPr>
                <w:rFonts w:ascii="Arial" w:cs="Arial" w:eastAsia="Arial" w:hAnsi="Arial"/>
                <w:sz w:val="13"/>
                <w:szCs w:val="13"/>
                <w:color w:val="auto"/>
              </w:rPr>
              <w:t>622,123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726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(32,677)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(32,677)</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17,755,506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1,145,308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(726,151)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419,100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20" w:type="dxa"/>
            <w:vAlign w:val="bottom"/>
            <w:tcBorders>
              <w:top w:val="single" w:sz="8" w:color="CCEEFF"/>
            </w:tcBorders>
            <w:vMerge w:val="continue"/>
          </w:tcPr>
          <w:p>
            <w:pPr>
              <w:spacing w:after="0"/>
              <w:rPr>
                <w:sz w:val="12"/>
                <w:szCs w:val="12"/>
                <w:color w:val="auto"/>
              </w:rPr>
            </w:pPr>
          </w:p>
        </w:tc>
        <w:tc>
          <w:tcPr>
            <w:tcW w:w="10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12,432</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78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12,432</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and commission costs of $70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25,189</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from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4,971</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(51,910)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(51,910)</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17,785,697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1,159,382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(778,061)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382,666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103505</wp:posOffset>
            </wp:positionV>
            <wp:extent cx="43973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980" w:type="dxa"/>
            <w:vAlign w:val="bottom"/>
            <w:gridSpan w:val="3"/>
          </w:tcPr>
          <w:p>
            <w:pPr>
              <w:jc w:val="right"/>
              <w:ind w:right="317"/>
              <w:spacing w:after="0" w:line="162" w:lineRule="exact"/>
              <w:rPr>
                <w:sz w:val="20"/>
                <w:szCs w:val="20"/>
                <w:color w:val="auto"/>
              </w:rPr>
            </w:pPr>
            <w:r>
              <w:rPr>
                <w:rFonts w:ascii="Arial" w:cs="Arial" w:eastAsia="Arial" w:hAnsi="Arial"/>
                <w:sz w:val="13"/>
                <w:szCs w:val="13"/>
                <w:b w:val="1"/>
                <w:bCs w:val="1"/>
                <w:color w:val="auto"/>
              </w:rPr>
              <w:t>Common Stock</w:t>
            </w:r>
            <w:r>
              <w:rPr>
                <w:rFonts w:ascii="Arial" w:cs="Arial" w:eastAsia="Arial" w:hAnsi="Arial"/>
                <w:sz w:val="16"/>
                <w:szCs w:val="16"/>
                <w:b w:val="1"/>
                <w:bCs w:val="1"/>
                <w:color w:val="auto"/>
                <w:vertAlign w:val="superscript"/>
              </w:rPr>
              <w:t>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06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1160" w:type="dxa"/>
            <w:vAlign w:val="bottom"/>
            <w:gridSpan w:val="3"/>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4"/>
                <w:szCs w:val="4"/>
                <w:color w:val="auto"/>
              </w:rPr>
            </w:pPr>
          </w:p>
        </w:tc>
        <w:tc>
          <w:tcPr>
            <w:tcW w:w="980" w:type="dxa"/>
            <w:vAlign w:val="bottom"/>
            <w:vMerge w:val="restart"/>
          </w:tcPr>
          <w:p>
            <w:pPr>
              <w:jc w:val="center"/>
              <w:ind w:right="57"/>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5"/>
                <w:szCs w:val="15"/>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3,292,163</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606,918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(530,644)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76,106</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7,593</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 costs of $560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560,253</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18,096</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11,516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2,970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(37,455)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(37,455)</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3,864,027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632,580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(568,099)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64,468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20" w:type="dxa"/>
            <w:vAlign w:val="bottom"/>
            <w:tcBorders>
              <w:top w:val="single" w:sz="8" w:color="CCEEFF"/>
            </w:tcBorders>
            <w:vMerge w:val="continue"/>
          </w:tcPr>
          <w:p>
            <w:pPr>
              <w:spacing w:after="0"/>
              <w:rPr>
                <w:sz w:val="12"/>
                <w:szCs w:val="12"/>
                <w:color w:val="auto"/>
              </w:rPr>
            </w:pPr>
          </w:p>
        </w:tc>
        <w:tc>
          <w:tcPr>
            <w:tcW w:w="10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5,775</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78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5,775</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Issuance of common stock from follow-on public offering and accompanying</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pre-funded warrants, net of underwriting discounts, commissions and</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 of $4,484</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4,296,646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63,439</w:t>
            </w:r>
          </w:p>
        </w:tc>
        <w:tc>
          <w:tcPr>
            <w:tcW w:w="0" w:type="dxa"/>
            <w:vAlign w:val="bottom"/>
          </w:tcPr>
          <w:p>
            <w:pPr>
              <w:spacing w:after="0"/>
              <w:rPr>
                <w:sz w:val="1"/>
                <w:szCs w:val="1"/>
                <w:color w:val="auto"/>
              </w:rPr>
            </w:pPr>
          </w:p>
        </w:tc>
      </w:tr>
      <w:tr>
        <w:trPr>
          <w:trHeight w:val="122"/>
        </w:trPr>
        <w:tc>
          <w:tcPr>
            <w:tcW w:w="432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20"/>
              <w:spacing w:after="0"/>
              <w:rPr>
                <w:sz w:val="20"/>
                <w:szCs w:val="20"/>
                <w:color w:val="auto"/>
              </w:rPr>
            </w:pPr>
            <w:r>
              <w:rPr>
                <w:rFonts w:ascii="Arial" w:cs="Arial" w:eastAsia="Arial" w:hAnsi="Arial"/>
                <w:sz w:val="13"/>
                <w:szCs w:val="13"/>
                <w:color w:val="auto"/>
              </w:rPr>
              <w:t>issuance costs</w:t>
            </w:r>
          </w:p>
        </w:tc>
        <w:tc>
          <w:tcPr>
            <w:tcW w:w="1080" w:type="dxa"/>
            <w:vAlign w:val="bottom"/>
          </w:tcPr>
          <w:p>
            <w:pPr>
              <w:jc w:val="right"/>
              <w:spacing w:after="0"/>
              <w:rPr>
                <w:sz w:val="20"/>
                <w:szCs w:val="20"/>
                <w:color w:val="auto"/>
              </w:rPr>
            </w:pPr>
            <w:r>
              <w:rPr>
                <w:rFonts w:ascii="Arial" w:cs="Arial" w:eastAsia="Arial" w:hAnsi="Arial"/>
                <w:sz w:val="13"/>
                <w:szCs w:val="13"/>
                <w:color w:val="auto"/>
              </w:rPr>
              <w:t>392,541</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6,032</w:t>
            </w:r>
          </w:p>
        </w:tc>
        <w:tc>
          <w:tcPr>
            <w:tcW w:w="0" w:type="dxa"/>
            <w:vAlign w:val="bottom"/>
          </w:tcPr>
          <w:p>
            <w:pPr>
              <w:spacing w:after="0"/>
              <w:rPr>
                <w:sz w:val="1"/>
                <w:szCs w:val="1"/>
                <w:color w:val="auto"/>
              </w:rPr>
            </w:pPr>
          </w:p>
        </w:tc>
      </w:tr>
      <w:tr>
        <w:trPr>
          <w:trHeight w:val="182"/>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720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(34,312)</w:t>
            </w: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8,569,348</w:t>
            </w: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708,023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(602,411)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105,625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5,763</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233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(24,632)</w:t>
            </w: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2023</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8,569,822</w:t>
            </w: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713,786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(627,043)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86,756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80" w:hanging="72"/>
        <w:spacing w:after="0"/>
        <w:tabs>
          <w:tab w:leader="none" w:pos="80" w:val="left"/>
        </w:tabs>
        <w:numPr>
          <w:ilvl w:val="0"/>
          <w:numId w:val="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Results have been retroactively adjusted to reflect the 1-for-15 reverse stock split effected on November 28, 2023. See Note 2 for details.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6"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Nine Months Ended</w:t>
      </w:r>
    </w:p>
    <w:p>
      <w:pPr>
        <w:jc w:val="center"/>
        <w:ind w:left="8040"/>
        <w:spacing w:after="0"/>
        <w:rPr>
          <w:sz w:val="20"/>
          <w:szCs w:val="20"/>
          <w:color w:val="auto"/>
        </w:rPr>
      </w:pPr>
      <w:r>
        <w:rPr>
          <w:rFonts w:ascii="Arial" w:cs="Arial" w:eastAsia="Arial" w:hAnsi="Arial"/>
          <w:sz w:val="16"/>
          <w:szCs w:val="16"/>
          <w:b w:val="1"/>
          <w:bCs w:val="1"/>
          <w:color w:val="auto"/>
        </w:rPr>
        <w:t>September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(124,140)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(96,399)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19,131</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Non-cash collaboration and license agreement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8,109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(7,556)</w:t>
            </w: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(8,871)</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(87,275)</w:t>
            </w: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39,000</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39,000</w:t>
            </w: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Issuance of common stock from follow-on public offering and accompanying pre-funded warrants, net of</w:t>
            </w:r>
          </w:p>
        </w:tc>
        <w:tc>
          <w:tcPr>
            <w:tcW w:w="3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377,636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63,439</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underwriting discounts, commissions and offering costs</w:t>
            </w:r>
          </w:p>
        </w:tc>
        <w:tc>
          <w:tcPr>
            <w:tcW w:w="3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Issuance of common stock from collaboration and license agreement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at-the-market offerings, net of issuance and commission costs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24,128</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 of stock options and employee stock purchase plan purchases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87,745</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in cash, cash equivalents and restricted cash</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39,470</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62,031</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101,501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101,085</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101,501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costs from at-the-market offering included in accrued expenses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Offering costs from follow-on offering included in accounts payable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included in accounts payable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jc w:val="center"/>
        <w:ind w:left="360" w:right="2660"/>
        <w:spacing w:after="0" w:line="451" w:lineRule="auto"/>
        <w:rPr>
          <w:sz w:val="20"/>
          <w:szCs w:val="20"/>
          <w:color w:val="auto"/>
        </w:rPr>
      </w:pPr>
      <w:r>
        <w:rPr>
          <w:rFonts w:ascii="Arial" w:cs="Arial" w:eastAsia="Arial" w:hAnsi="Arial"/>
          <w:sz w:val="18"/>
          <w:szCs w:val="18"/>
          <w:b w:val="1"/>
          <w:bCs w:val="1"/>
          <w:color w:val="auto"/>
        </w:rPr>
        <w:t>PRAXIS PRECISION MEDICINES, INC. NOTES TO CONDENSED CONSOLIDATED FINANCIAL STATEMENTS (Unaudited)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17"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Praxis Precision Medicines, Inc. (“Praxis” or the “Company”) is a clinical-stage biopharmaceutical company translating insights from genetic epilepsies into the development of therapies for central nervous system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w:t>
      </w:r>
    </w:p>
    <w:p>
      <w:pPr>
        <w:spacing w:after="0" w:line="169" w:lineRule="exact"/>
        <w:rPr>
          <w:sz w:val="20"/>
          <w:szCs w:val="20"/>
          <w:color w:val="auto"/>
        </w:rPr>
      </w:pPr>
    </w:p>
    <w:p>
      <w:pPr>
        <w:ind w:left="660" w:right="32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the Company's small molecule platform, utilizes deep understanding of neuronal excitability and neuronal networks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applies a series of computational and experimental tools to develop orally available precision therapies</w:t>
      </w:r>
    </w:p>
    <w:p>
      <w:pPr>
        <w:spacing w:after="0" w:line="139" w:lineRule="exact"/>
        <w:rPr>
          <w:rFonts w:ascii="Arial" w:cs="Arial" w:eastAsia="Arial" w:hAnsi="Arial"/>
          <w:sz w:val="22"/>
          <w:szCs w:val="22"/>
          <w:color w:val="auto"/>
        </w:rPr>
      </w:pPr>
    </w:p>
    <w:p>
      <w:pPr>
        <w:ind w:left="660" w:right="3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the Company's antisense oligonucleotide, or ASO, platform, is an efficient, targeted precision medicine discovery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engine anchored on a proprietary, computational methodology</w:t>
      </w:r>
    </w:p>
    <w:p>
      <w:pPr>
        <w:spacing w:after="0" w:line="153"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clinical-stage product candidates across movement disorders and epilepsy. For the Company's most advanced product candidate under the Cerebrum™ platform, ulixacaltamide, our Phase 3 Essential3 clinical trials in essential tremor are ongoing. The Company is planning to conduct an interim analysis in the first quarter of 2025. Within the Company's vormatrigine program (formerly known as PRAX-628), it announced positive results from its Photo-Paroxysmal Response ("PPR") study in the first quarter of 2024, and the Company has initiated or plans to initiate four studies to generate patient eligibility, efficacy, safety and pharmacokinetics (PK) data for the program. The Company initiated an observational study of vormatrigine in patients with epilepsy in the third quarter of 2024, and has initiated or plans to initiate three efficacy studies. The first efficacy study will be an open label eight-week study in patients with focal onset seizures or generalized epilepsy expected to be initiated in the fourth quarter of 2024, with topline results expected in the first half of 2025. The Company also initiated a double-blind, placebo-controlled, 12-week study in focal onset seizures in the fourth quarter of 2024, with topline results expected in the second half of 2025, and plans to initiate a third efficacy study in the first half of 2025. Within the Company's relutrigine (formerly known as PRAX-562) program, it announced positive topline results from the first cohort of the EMBOLD study in the third quarter of 2024, and has initiated enrollment of the second cohort, with topline results expected in the first half of 2026. For the Company's most advanced product candidate under the Solidus™ platform, elsunersen (formerly known as PRAX-222), it shared results from Part 1 of the EMBRAVE study in the fourth quarter of 2023, and has initiated the first arm of the global confirmatory study in Brazil. It is currently completing multiple global regulatory interactions to further expand the pivotal phase of the program later in 2024.</w:t>
      </w:r>
    </w:p>
    <w:p>
      <w:pPr>
        <w:spacing w:after="0" w:line="192"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Praxis was incorporated in 2015 and commenced operations in 2016. The Company has funded its operations primarily with proceeds from the issuance of redeemable convertible preferred stock, from the sale of common stock through an initial public offering and at-the-market offerings under its shelf registration statement, and from follow-on public offerings of common stock and pre-funded warrants to purchase common stock. From inception through September 30, 2024, the Company raised $1.0 billion in aggregate cash proceeds from these transactions, net of issuance costs.</w:t>
      </w:r>
    </w:p>
    <w:p>
      <w:pPr>
        <w:spacing w:after="0" w:line="179"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 w:name="page12"/>
    <w:bookmarkEnd w:id="11"/>
    <w:p>
      <w:pPr>
        <w:jc w:val="both"/>
        <w:ind w:right="200"/>
        <w:spacing w:after="0" w:line="268" w:lineRule="auto"/>
        <w:rPr>
          <w:sz w:val="20"/>
          <w:szCs w:val="20"/>
          <w:color w:val="auto"/>
        </w:rPr>
      </w:pPr>
      <w:r>
        <w:rPr>
          <w:rFonts w:ascii="Arial" w:cs="Arial" w:eastAsia="Arial" w:hAnsi="Arial"/>
          <w:sz w:val="18"/>
          <w:szCs w:val="18"/>
          <w:color w:val="auto"/>
        </w:rPr>
        <w:t>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5"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 substantial doubt about the Company’s ability to continue as a going concern within one year after the date that these condensed consolidated financial statements are issued.</w:t>
      </w:r>
    </w:p>
    <w:p>
      <w:pPr>
        <w:spacing w:after="0" w:line="176" w:lineRule="exact"/>
        <w:rPr>
          <w:sz w:val="20"/>
          <w:szCs w:val="20"/>
          <w:color w:val="auto"/>
        </w:rPr>
      </w:pPr>
    </w:p>
    <w:p>
      <w:pPr>
        <w:ind w:right="500" w:firstLine="445"/>
        <w:spacing w:after="0" w:line="268" w:lineRule="auto"/>
        <w:rPr>
          <w:sz w:val="20"/>
          <w:szCs w:val="20"/>
          <w:color w:val="auto"/>
        </w:rPr>
      </w:pPr>
      <w:r>
        <w:rPr>
          <w:rFonts w:ascii="Arial" w:cs="Arial" w:eastAsia="Arial" w:hAnsi="Arial"/>
          <w:sz w:val="18"/>
          <w:szCs w:val="18"/>
          <w:color w:val="auto"/>
        </w:rPr>
        <w:t>The Company has incurred recurring losses since its inception, including a net loss of $124.1 million for the nine months ended September 30, 2024. In addition, as of September 30, 2024, the Company had an accumulated deficit of $778.1 million. The Company expects to continue to generate operating losses for the foreseeable future.</w:t>
      </w:r>
    </w:p>
    <w:p>
      <w:pPr>
        <w:spacing w:after="0" w:line="171"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Company expects that its cash, cash equivalents and marketable securities as of September 30, 2024 of $411.2 million will be sufficient to fund its operating expenditures and capital expenditure requirements necessary to advance its research efforts and clinical trials for at least one year from the date of issuance of these condensed consolidated financial statements.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90" w:lineRule="exact"/>
        <w:rPr>
          <w:sz w:val="20"/>
          <w:szCs w:val="20"/>
          <w:color w:val="auto"/>
        </w:rPr>
      </w:pPr>
    </w:p>
    <w:p>
      <w:pPr>
        <w:ind w:right="7220" w:firstLine="8"/>
        <w:spacing w:after="0" w:line="375" w:lineRule="auto"/>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71" w:lineRule="exact"/>
        <w:rPr>
          <w:sz w:val="20"/>
          <w:szCs w:val="20"/>
          <w:color w:val="auto"/>
        </w:rPr>
      </w:pPr>
    </w:p>
    <w:p>
      <w:pPr>
        <w:jc w:val="both"/>
        <w:ind w:right="300" w:firstLine="445"/>
        <w:spacing w:after="0" w:line="268"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nine months ended September 30, 2024 are consistent with those discussed in Note 2 to the consolidated financial statements included in the Company's 2023 Annual Report on Form 10-K, other than as noted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115" w:lineRule="exact"/>
        <w:rPr>
          <w:sz w:val="20"/>
          <w:szCs w:val="20"/>
          <w:color w:val="auto"/>
        </w:rPr>
      </w:pPr>
    </w:p>
    <w:p>
      <w:pPr>
        <w:ind w:right="220" w:firstLine="445"/>
        <w:spacing w:after="0" w:line="291" w:lineRule="auto"/>
        <w:rPr>
          <w:sz w:val="20"/>
          <w:szCs w:val="20"/>
          <w:color w:val="auto"/>
        </w:rPr>
      </w:pPr>
      <w:r>
        <w:rPr>
          <w:rFonts w:ascii="Arial" w:cs="Arial" w:eastAsia="Arial" w:hAnsi="Arial"/>
          <w:sz w:val="17"/>
          <w:szCs w:val="17"/>
          <w:color w:val="auto"/>
        </w:rPr>
        <w:t>On November 28, 2023, the Company filed a Certificate of Amendment to the Company's Amended and Restated Certificate of Incorporation with the Secretary of State of the State of Delaware to effect a 1-for-15 reverse stock split of its common stock (the "Reverse Stock Split"). The Reverse Stock Split became effective at 5:00 p.m., Eastern Time, on November 28, 2023 (the "Effective Time").</w:t>
      </w:r>
    </w:p>
    <w:p>
      <w:pPr>
        <w:spacing w:after="0" w:line="153"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As a result of the Reverse Stock Split, every 15 shares of the Company's issued and outstanding common stock were automatically reclassified into one validly issued, fully-paid and non-assessable share of common stock. Any fractional post-split shares as a result of the Reverse Stock Split were rounded down to the nearest whole post-split share. The Reverse Stock Split did not affect the number of authorized shares of common stock or the par value of the common stock. All share amounts and per share amounts for the periods prior to the Effective Time disclosed in this Quarterly Report on Form 10-Q have been restated to reflect the Reverse Stock Split on a retroactive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 Classification</w:t>
      </w:r>
    </w:p>
    <w:p>
      <w:pPr>
        <w:spacing w:after="0" w:line="115"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The Company may invest its excess cash in money market funds and debt instruments of the U.S. Treasury, financial institutions, corporations and U.S. government agencies with strong credit ratings and an investment grade rating at or above A-1 or P-1 by two of the three nationally recognized statistical rating organizations. The Company does not believe that it is exposed to more than a nominal amount of credit risk related to any marketable securities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12" w:name="page13"/>
    <w:bookmarkEnd w:id="12"/>
    <w:p>
      <w:pPr>
        <w:ind w:right="180"/>
        <w:spacing w:after="0" w:line="318" w:lineRule="auto"/>
        <w:rPr>
          <w:sz w:val="20"/>
          <w:szCs w:val="20"/>
          <w:color w:val="auto"/>
        </w:rPr>
      </w:pPr>
      <w:r>
        <w:rPr>
          <w:rFonts w:ascii="Arial" w:cs="Arial" w:eastAsia="Arial" w:hAnsi="Arial"/>
          <w:sz w:val="17"/>
          <w:szCs w:val="17"/>
          <w:color w:val="auto"/>
        </w:rPr>
        <w:t>it may invest in. The Company has established guidelines relative to diversification and maturities that maintain safety and liquidity, and periodically reviews and modifies these guidelines to maximize trends in yields and interest rates without compromising safety and liquidity.</w:t>
      </w:r>
    </w:p>
    <w:p>
      <w:pPr>
        <w:spacing w:after="0" w:line="22" w:lineRule="exact"/>
        <w:rPr>
          <w:sz w:val="20"/>
          <w:szCs w:val="20"/>
          <w:color w:val="auto"/>
        </w:rPr>
      </w:pPr>
    </w:p>
    <w:p>
      <w:pPr>
        <w:ind w:right="280" w:firstLine="445"/>
        <w:spacing w:after="0" w:line="257" w:lineRule="auto"/>
        <w:rPr>
          <w:sz w:val="20"/>
          <w:szCs w:val="20"/>
          <w:color w:val="auto"/>
        </w:rPr>
      </w:pPr>
      <w:r>
        <w:rPr>
          <w:rFonts w:ascii="Arial" w:cs="Arial" w:eastAsia="Arial" w:hAnsi="Arial"/>
          <w:sz w:val="18"/>
          <w:szCs w:val="18"/>
          <w:color w:val="auto"/>
        </w:rPr>
        <w:t>The Company classifies its investments in debt instruments as available-for-sale. Available-for-sale investments are reported at fair value at each balance sheet date, and include any unrealized holding gains and losses in accumulated other comprehensive loss, a component of stockholders’ equity. Realized gains and losses are included in the Company's condensed consolidated statements of operations. All of the Company's available-for-sale securities are available for use in its current operations. The Company classifies marketable securities as either cash equivalents, short-term, or long-term based on their stated maturity dates as it is more-likely-than-not that the Company will hold these assets through to their maturity 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1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accompanying condensed consolidated balance sheet as of September 30, 2024, the condensed consolidated statements of operations for the three and nine months ended September 30, 2024 and 2023, the condensed consolidated statements of comprehensive loss for the three and nine months ended September 30, 2024 and 2023, the condensed consolidated statements of cash flows for the nine months ended September 30, 2024 and 2023 and the condensed consolidated statements of stockholders’ equity for the three and nine months ended September 30, 2024 and 2023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September 30, 2024, the results of its operations for the three and nine months ended September 30, 2024 and 2023 and its cash flows for the nine months ended September 30, 2024 and 2023. Financial statement disclosures for the three and nine months ended September 30, 2024 and 2023 are condensed and do not include all disclosures required for an annual set of financial statements in accordance with GAAP.</w:t>
      </w:r>
    </w:p>
    <w:p>
      <w:pPr>
        <w:spacing w:after="0" w:line="185" w:lineRule="exact"/>
        <w:rPr>
          <w:sz w:val="20"/>
          <w:szCs w:val="20"/>
          <w:color w:val="auto"/>
        </w:rPr>
      </w:pPr>
    </w:p>
    <w:p>
      <w:pPr>
        <w:ind w:right="320" w:firstLine="445"/>
        <w:spacing w:after="0" w:line="287" w:lineRule="auto"/>
        <w:rPr>
          <w:sz w:val="20"/>
          <w:szCs w:val="20"/>
          <w:color w:val="auto"/>
        </w:rPr>
      </w:pPr>
      <w:r>
        <w:rPr>
          <w:rFonts w:ascii="Arial" w:cs="Arial" w:eastAsia="Arial" w:hAnsi="Arial"/>
          <w:sz w:val="18"/>
          <w:szCs w:val="18"/>
          <w:color w:val="auto"/>
        </w:rPr>
        <w:t>The results for the three and nine months ended September 30, 2024 are not necessarily indicative of results to be expected for the year ended December 31, 2024, any other interim periods, or any future year or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accrued and prepaid research and development expense, collaboration revenue,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5"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 xml:space="preserve">The Company accounts for warrants to purchase shares of its common stock in accordance with the guidance in FASB ASC No.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(ASC 480) and ASC No. 815,</w:t>
      </w:r>
      <w:r>
        <w:rPr>
          <w:rFonts w:ascii="Arial" w:cs="Arial" w:eastAsia="Arial" w:hAnsi="Arial"/>
          <w:sz w:val="18"/>
          <w:szCs w:val="18"/>
          <w:i w:val="1"/>
          <w:iCs w:val="1"/>
          <w:color w:val="auto"/>
        </w:rPr>
        <w:t xml:space="preserve"> Derivatives and Hedging </w:t>
      </w:r>
      <w:r>
        <w:rPr>
          <w:rFonts w:ascii="Arial" w:cs="Arial" w:eastAsia="Arial" w:hAnsi="Arial"/>
          <w:sz w:val="18"/>
          <w:szCs w:val="18"/>
          <w:color w:val="auto"/>
        </w:rPr>
        <w:t>(ASC 815). The Company classifies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 pursuant to the indexation and equity classification criteria in ASC 815. The Company determines the classification for its warrants at the time of issuance and updates its assessment, as necessary. Warrants that meet all of the criteria for equity classification are recorded as a component of additional paid-in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5" w:lineRule="exact"/>
        <w:rPr>
          <w:sz w:val="20"/>
          <w:szCs w:val="20"/>
          <w:color w:val="auto"/>
        </w:rPr>
      </w:pPr>
    </w:p>
    <w:p>
      <w:pPr>
        <w:ind w:right="60" w:firstLine="445"/>
        <w:spacing w:after="0" w:line="268"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The calculation of weighted average number of common shares outstanding excludes shares of restricted common stock that are not vested but includes shares of common stock underlying pre-funded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3" w:name="page14"/>
    <w:bookmarkEnd w:id="13"/>
    <w:p>
      <w:pPr>
        <w:ind w:right="80"/>
        <w:spacing w:after="0" w:line="259" w:lineRule="auto"/>
        <w:rPr>
          <w:sz w:val="20"/>
          <w:szCs w:val="20"/>
          <w:color w:val="auto"/>
        </w:rPr>
      </w:pPr>
      <w:r>
        <w:rPr>
          <w:rFonts w:ascii="Arial" w:cs="Arial" w:eastAsia="Arial" w:hAnsi="Arial"/>
          <w:sz w:val="18"/>
          <w:szCs w:val="18"/>
          <w:color w:val="auto"/>
        </w:rPr>
        <w:t>warrants. Diluted net loss per share is computed by dividing net loss by the weighted average number of common shares outstanding for the period, after giving consideration to the dilutive effect of potentially dilutive common shares. For purposes of this calculation, outstanding options to purchase shares of common stock, unvested shares of restricted common stock and potential shares issuable under the 2020 ESPP are considered potentially dilutive common shares. The Company has generated a net loss in all periods presented so the basic and diluted net loss per share are the same, as the inclusion of the potentially dilutive securities would be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5"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 xml:space="preserve">On November 27, 2023, the FASB issued ASU No. 2023-07, </w:t>
      </w:r>
      <w:r>
        <w:rPr>
          <w:rFonts w:ascii="Arial" w:cs="Arial" w:eastAsia="Arial" w:hAnsi="Arial"/>
          <w:sz w:val="18"/>
          <w:szCs w:val="18"/>
          <w:i w:val="1"/>
          <w:iCs w:val="1"/>
          <w:color w:val="auto"/>
        </w:rPr>
        <w:t>Segment Reporting (Topic 280) - Improvements to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ASU No. 2023-07 improves reportable segment disclosure requirements, primarily through enhanced disclosures about</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segment expenses. The amendments included in this ASU apply to all public entities that are required to report segment information in accordance with Topic 280, including those with a single reportable segment. The amendments are effective for fiscal years beginning after December 15, 2023, and interim periods within fiscal years beginning after December 15, 2024. Early adoption is permitted and should be applied retrospectively to all prior periods presented in the financial statements. Upon transition, the segment expenses categories and amounts disclosed in the prior periods should be based on the significant segment expense categories identified and disclosed in the period of adoption. The Company only has one reportable segment and this ASU impacts disclosures only. The Company has determined that the effects of adopting the amendments in ASU 2023-07 will only impact its disclosures and not have a material impact on its consolidated financial position and the results of its operations when such amendment is adopted.</w:t>
      </w:r>
    </w:p>
    <w:p>
      <w:pPr>
        <w:spacing w:after="0" w:line="77"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 xml:space="preserve">On December 14, 2023, the FASB issued ASU No. 2023-09, </w:t>
      </w:r>
      <w:r>
        <w:rPr>
          <w:rFonts w:ascii="Arial" w:cs="Arial" w:eastAsia="Arial" w:hAnsi="Arial"/>
          <w:sz w:val="18"/>
          <w:szCs w:val="18"/>
          <w:i w:val="1"/>
          <w:iCs w:val="1"/>
          <w:color w:val="auto"/>
        </w:rPr>
        <w:t>Income Taxes (Topic 740) - Improvements to Income Tax Disclosures</w:t>
      </w:r>
      <w:r>
        <w:rPr>
          <w:rFonts w:ascii="Arial" w:cs="Arial" w:eastAsia="Arial" w:hAnsi="Arial"/>
          <w:sz w:val="18"/>
          <w:szCs w:val="18"/>
          <w:color w:val="auto"/>
        </w:rPr>
        <w:t>. ASU No. 2023-09 provides more transparency about income tax information through improvements to income tax disclosures primarily related to the rate reconciliation and incomes taxes paid information. For public companies, the amendments are effective for annual periods beginning after December 15, 2024 and should be applied prospectively. The Company has determined that the effects of adopting the amendments in ASU 2023-09 will only impact its disclosures and will not have a material impact on its consolidated financial position and the results of its operations when such amendment is adopted.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Marketable Securities</w:t>
      </w:r>
    </w:p>
    <w:p>
      <w:pPr>
        <w:spacing w:after="0" w:line="117" w:lineRule="exact"/>
        <w:rPr>
          <w:sz w:val="20"/>
          <w:szCs w:val="20"/>
          <w:color w:val="auto"/>
        </w:rPr>
      </w:pPr>
    </w:p>
    <w:p>
      <w:pPr>
        <w:ind w:right="40" w:firstLine="445"/>
        <w:spacing w:after="0" w:line="287" w:lineRule="auto"/>
        <w:rPr>
          <w:sz w:val="20"/>
          <w:szCs w:val="20"/>
          <w:color w:val="auto"/>
        </w:rPr>
      </w:pPr>
      <w:r>
        <w:rPr>
          <w:rFonts w:ascii="Arial" w:cs="Arial" w:eastAsia="Arial" w:hAnsi="Arial"/>
          <w:sz w:val="18"/>
          <w:szCs w:val="18"/>
          <w:color w:val="auto"/>
        </w:rPr>
        <w:t>The following is a summary of the Company's investment portfolio as of September 30, 2024 (in thousands). The Company did not hold any cash equivalents or marketable securities as of December 31,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As of September 30, 2024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7"/>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5"/>
        </w:trPr>
        <w:tc>
          <w:tcPr>
            <w:tcW w:w="6060" w:type="dxa"/>
            <w:vAlign w:val="bottom"/>
          </w:tcPr>
          <w:p>
            <w:pPr>
              <w:ind w:left="24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81,359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81,359</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marketable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6060" w:type="dxa"/>
            <w:vAlign w:val="bottom"/>
          </w:tcPr>
          <w:p>
            <w:pPr>
              <w:ind w:left="24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143,283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144,183</w:t>
            </w:r>
          </w:p>
        </w:tc>
      </w:tr>
      <w:tr>
        <w:trPr>
          <w:trHeight w:val="217"/>
        </w:trPr>
        <w:tc>
          <w:tcPr>
            <w:tcW w:w="6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Corporate debt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75,085</w:t>
            </w:r>
          </w:p>
        </w:tc>
      </w:tr>
      <w:tr>
        <w:trPr>
          <w:trHeight w:val="215"/>
        </w:trPr>
        <w:tc>
          <w:tcPr>
            <w:tcW w:w="6060" w:type="dxa"/>
            <w:vAlign w:val="bottom"/>
          </w:tcPr>
          <w:p>
            <w:pPr>
              <w:ind w:left="24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18,588</w:t>
            </w:r>
          </w:p>
        </w:tc>
      </w:tr>
      <w:tr>
        <w:trPr>
          <w:trHeight w:val="217"/>
        </w:trPr>
        <w:tc>
          <w:tcPr>
            <w:tcW w:w="6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debt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Total cash equivalents and marketable securities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322,556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323,887</w:t>
            </w: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As of September 30, 2024, the Company had 3 securities with a total fair market value of $8.0 million in an unrealized loss position. The Company believes that any unrealized losses associated with the decline in value of its securities is temporary and primarily related to the change in market interest rates since purchase, and believes that it is more likely than not that it will be able to hold its debt securities to maturity. The Company anticipates a full recovery of the amortized cost basis of its debt securities at maturity and an allowance was not recognized.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the marketable securities at each balance sheet date are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Within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188,387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 one year through five years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54,141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242,528</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three and nine months ended September 30, 2024 and 2023.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17"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that are accessible at the measurement date for identical assets;</w:t>
      </w:r>
    </w:p>
    <w:p>
      <w:pPr>
        <w:spacing w:after="0" w:line="117" w:lineRule="exact"/>
        <w:rPr>
          <w:rFonts w:ascii="Arial" w:cs="Arial" w:eastAsia="Arial" w:hAnsi="Arial"/>
          <w:sz w:val="18"/>
          <w:szCs w:val="18"/>
          <w:color w:val="auto"/>
        </w:rPr>
      </w:pPr>
    </w:p>
    <w:p>
      <w:pPr>
        <w:ind w:left="660" w:right="84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Quoted prices for similar assets in active markets, quoted prices in markets that are not active, or inputs which are unobservable, either directly or indirectly, for substantially the full term of the asset; or</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valuation of the asset and unobservable.</w:t>
      </w:r>
    </w:p>
    <w:p>
      <w:pPr>
        <w:spacing w:after="0" w:line="22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September 30, 2024 (in thousands). The Company did not hold any financial assets measured at fair value on a recurring basis as of December 31, 2023.</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As of September 30, 2024</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81,359</w:t>
            </w: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Available-for-sale marketable securities: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144,183</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75,085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75,085</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18,588</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4,672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4,672</w:t>
            </w:r>
          </w:p>
        </w:tc>
      </w:tr>
      <w:tr>
        <w:trPr>
          <w:trHeight w:val="235"/>
        </w:trPr>
        <w:tc>
          <w:tcPr>
            <w:tcW w:w="5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225,542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323,887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3,162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3,716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15,457</w:t>
            </w:r>
          </w:p>
        </w:tc>
        <w:tc>
          <w:tcPr>
            <w:tcW w:w="100" w:type="dxa"/>
            <w:vAlign w:val="bottom"/>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7,416</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 w:name="page16"/>
    <w:bookmarkEnd w:id="15"/>
    <w:p>
      <w:pPr>
        <w:ind w:right="40" w:firstLine="445"/>
        <w:spacing w:after="0" w:line="259"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that expires on January 31, 2026, with no option to renew or terminate early. The base rent increases by approximately 2% annually. The Company issued a letter of credit to the landlord related to the security deposit, secured by restricted cash, which is reflected within other non-current assets on the accompanying condensed consolidated balance sheets as of September 30, 2024 and December 31, 2023. This lease qualifies as an operating lease.</w:t>
      </w:r>
    </w:p>
    <w:p>
      <w:pPr>
        <w:spacing w:after="0" w:line="287" w:lineRule="exact"/>
        <w:rPr>
          <w:sz w:val="20"/>
          <w:szCs w:val="20"/>
          <w:color w:val="auto"/>
        </w:rPr>
      </w:pPr>
    </w:p>
    <w:p>
      <w:pPr>
        <w:ind w:right="7700" w:firstLine="8"/>
        <w:spacing w:after="0" w:line="397" w:lineRule="auto"/>
        <w:tabs>
          <w:tab w:leader="none" w:pos="2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Collaboration and License Agreements </w:t>
      </w:r>
      <w:r>
        <w:rPr>
          <w:rFonts w:ascii="Arial" w:cs="Arial" w:eastAsia="Arial" w:hAnsi="Arial"/>
          <w:sz w:val="17"/>
          <w:szCs w:val="17"/>
          <w:b w:val="1"/>
          <w:bCs w:val="1"/>
          <w:i w:val="1"/>
          <w:iCs w:val="1"/>
          <w:color w:val="auto"/>
        </w:rPr>
        <w:t>UCB Option and License Agreement</w:t>
      </w:r>
    </w:p>
    <w:p>
      <w:pPr>
        <w:spacing w:after="0" w:line="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December 2022, the Company entered into an Option and License Agreement (“the Collaboration Agreement”) with UCB Biopharma SRL (“UCB”) for the discovery of small molecule therapeutics as potential treatments of KCNT1-related epilepsies. Under the terms of the Collaboration Agreement, the Company has agreed to perform general biology-related research services as part of a mutually agreed upon research plan in exchange for a $5.0 million upfront payment. In addition, the Company provided UCB an exclusive option to in-license global development and commercialization rights to any resulting KCNT1 small molecule development candidate identified as part of the research plan. If UCB exercises its option to in-license global development and commercialization rights, the Collaboration Agreement stipulates that UCB will assume research, development, manufacturing and commercialization responsibilities and costs. Under the terms of the Collaboration Agreement, the Company will be eligible to receive an option fee and future success-based development and commercialization milestone payments, totaling up to $98.5 million, in addition to tiered royalties on net sales of any resulting products from the Collaboration Agreement.</w:t>
      </w:r>
    </w:p>
    <w:p>
      <w:pPr>
        <w:spacing w:after="0" w:line="77"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Company concluded that UCB is a customer, and as such, the arrangement falls within the scope of Topic 606. At the commencement of the Collaboration Agreement, the Company identified one performance obligation, which was to perform the research services for UCB. The Company determined the transaction price to be $5.0 million, comprised of the upfront payment it received. The option provided to UCB was determined not to be a material right.</w:t>
      </w:r>
    </w:p>
    <w:p>
      <w:pPr>
        <w:spacing w:after="0" w:line="68"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The Company recognizes revenue for its research services performance obligation over time using an input method over the duration of the research services. During the three and nine months ended September 30, 2024, the Company recognized $0.3 million and $1.1 million, respectively, in collaboration revenue related to the Collaboration Agreement in the condensed consolidated statement of operations. As of September 30, 2024, $1.5 million was included in deferred revenue in the condensed consolidated balance sheet, of which $1.2 million was classified as current.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Tenacia Collaboration and License Agreement</w:t>
      </w:r>
    </w:p>
    <w:p>
      <w:pPr>
        <w:spacing w:after="0" w:line="115"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On January 4, 2024, the Company entered into an exclusive collaboration and license Agreement (“the License Agreement”) with Tenacia Biotechnology (Shanghai) Co., Ltd. (“Tenacia”), a China-based portfolio company of Bain Capital, which provides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 The Company also entered into a Stock Purchase Agreement (“the Stock Purchase Agreement”) with BCPE Tenet Holdings Cayman, Ltd. (“BCPE”), a related party of Tenacia. Pursuant to the terms of the License Agreement, the Company was entitled to an up-front, non-refundable and non-creditable cash payment of $5.0 million, net of certain tax withholdings. In addition, the Company is eligible to receive $264.0 million in success-based development and commercialization milestone payments as well as tiered royalties on net sales. Pursuant to the terms of the Stock Purchase Agreement, the Company issued and sold 443,253 shares of its common stock to BCPE at a price per share of $22.5605 for aggregate gross proceeds of $10.0 million. The per share price was based on a 20% premium over the 30-day volume-weighted average price.</w:t>
      </w:r>
    </w:p>
    <w:p>
      <w:pPr>
        <w:spacing w:after="0" w:line="74"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Under the terms of the License Agreement, the Company granted to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w:t>
      </w:r>
    </w:p>
    <w:p>
      <w:pPr>
        <w:spacing w:after="0" w:line="68"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The Company concluded that the License Agreement and the Stock Purchase Agreement is a combined arrangement since they were executed at the same time and in contemplation of each other with the same counterparty or a related party thereof and the combined arrangement falls within the scope of Topic 606.</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6" w:name="page17"/>
    <w:bookmarkEnd w:id="16"/>
    <w:p>
      <w:pPr>
        <w:ind w:right="60" w:firstLine="445"/>
        <w:spacing w:after="0" w:line="257" w:lineRule="auto"/>
        <w:rPr>
          <w:sz w:val="20"/>
          <w:szCs w:val="20"/>
          <w:color w:val="auto"/>
        </w:rPr>
      </w:pPr>
      <w:r>
        <w:rPr>
          <w:rFonts w:ascii="Arial" w:cs="Arial" w:eastAsia="Arial" w:hAnsi="Arial"/>
          <w:sz w:val="18"/>
          <w:szCs w:val="18"/>
          <w:color w:val="auto"/>
        </w:rPr>
        <w:t>The Company’s obligations under the arrangement comprise a single promise, or one performance obligation, related to the exclusive development and commercialization license granted to Tenacia. Total proceeds associated with the combined arrangement at inception were $14.8 million consisting of the following: (i) $10.0 million gross proceeds from the sale of common stock under the Stock Purchase Agreement and (ii) $4.8 million, net of tax, related to the up-front payment under the License Agreement, both of which were received in January 2024. During the three and nine months ended September 30, 2024, the Company had not achieved any development or sales milestones or earned any royalties under the License Agreement.</w:t>
      </w:r>
    </w:p>
    <w:p>
      <w:pPr>
        <w:spacing w:after="0" w:line="74"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Company recorded the common stock sold to BCPE at its issuance date fair value of $38.95 per share, or $17.3 million in the aggregate, which exceeded the proceeds received which were calculated based on the 20% premium over the prior 30-day volume-weighted average price. Accordingly, there is no transaction price allocable to the performance obligation. The Company accounted for the excess of the fair value of the equity securities issued over the total proceeds received as consideration paid to a customer for which no distinct good or service was transferred in exchange. As a result, the transaction gives rise to negative revenue on a cumulative basis in the amount of $2.5 million, which was recorded in research and development expense in the accompanying condensed consolidated statement of operations for the three months ended March 31, 2024. For agreements where the licenses are considered separate performance obligations or represent the only performance obligation, the Company recognizes revenue at the point in time that the Company effectively grants the license, as the licenses or assignments represent functional intellectual property.</w:t>
      </w:r>
    </w:p>
    <w:p>
      <w:pPr>
        <w:spacing w:after="0" w:line="73" w:lineRule="exact"/>
        <w:rPr>
          <w:sz w:val="20"/>
          <w:szCs w:val="20"/>
          <w:color w:val="auto"/>
        </w:rPr>
      </w:pPr>
    </w:p>
    <w:p>
      <w:pPr>
        <w:jc w:val="both"/>
        <w:ind w:right="200" w:firstLine="445"/>
        <w:spacing w:after="0" w:line="262" w:lineRule="auto"/>
        <w:rPr>
          <w:sz w:val="20"/>
          <w:szCs w:val="20"/>
          <w:color w:val="auto"/>
        </w:rPr>
      </w:pPr>
      <w:r>
        <w:rPr>
          <w:rFonts w:ascii="Arial" w:cs="Arial" w:eastAsia="Arial" w:hAnsi="Arial"/>
          <w:sz w:val="18"/>
          <w:szCs w:val="18"/>
          <w:color w:val="auto"/>
        </w:rPr>
        <w:t>As of September 30, 2024, the Company did not have any receivables or deferred revenue related to the arrangement with Tenacia. The Company did not recognize any contract assets related to costs to obtain a contract with a customer or costs to fulfill a contract with a customer through September 30, 2024 because no qualifying costs were incurred. During the three and nine months ended September 30, 2024, the Company did not recognize any revenue associated with the combined arrangement.</w:t>
      </w:r>
    </w:p>
    <w:p>
      <w:pPr>
        <w:spacing w:after="0" w:line="284" w:lineRule="exact"/>
        <w:rPr>
          <w:sz w:val="20"/>
          <w:szCs w:val="20"/>
          <w:color w:val="auto"/>
        </w:rPr>
      </w:pPr>
    </w:p>
    <w:p>
      <w:pPr>
        <w:ind w:right="7960" w:firstLine="8"/>
        <w:spacing w:after="0" w:line="375" w:lineRule="auto"/>
        <w:tabs>
          <w:tab w:leader="none" w:pos="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Reverse Stock Split</w:t>
      </w:r>
    </w:p>
    <w:p>
      <w:pPr>
        <w:spacing w:after="0" w:line="1"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On November 28, 2023, the Company filed a Certificate of Amendment to the Company's Amended and Restated Certificate of Incorporation with the Secretary of State of the State of Delaware to effect a 1-for-15 reverse stock split of its common stock. The Reverse Stock Split became effective at 5:00 p.m., Eastern Time, on November 28, 2023.</w:t>
      </w:r>
    </w:p>
    <w:p>
      <w:pPr>
        <w:spacing w:after="0" w:line="63"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As a result of the Reverse Stock Split, every 15 shares of the Company's issued and outstanding common stock were automatically reclassified into one validly issued, fully-paid and non-assessable share of common stock. Any fractional post-split shares as a result of the Reverse Stock Split were rounded down to the nearest whole post-split share. The Reverse Stock Split did not affect the number of authorized shares of common stock or the par value of the common stock. All share amounts and per share amounts for the period prior to the Effective Time disclosed in this Quarterly Report on Form 10-Q have been restated to reflect the Reverse Stock Split on a retroactive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5" w:lineRule="exact"/>
        <w:rPr>
          <w:sz w:val="20"/>
          <w:szCs w:val="20"/>
          <w:color w:val="auto"/>
        </w:rPr>
      </w:pPr>
    </w:p>
    <w:p>
      <w:pPr>
        <w:ind w:right="560" w:firstLine="445"/>
        <w:spacing w:after="0" w:line="287" w:lineRule="auto"/>
        <w:rPr>
          <w:sz w:val="20"/>
          <w:szCs w:val="20"/>
          <w:color w:val="auto"/>
        </w:rPr>
      </w:pPr>
      <w:r>
        <w:rPr>
          <w:rFonts w:ascii="Arial" w:cs="Arial" w:eastAsia="Arial" w:hAnsi="Arial"/>
          <w:sz w:val="18"/>
          <w:szCs w:val="18"/>
          <w:color w:val="auto"/>
        </w:rPr>
        <w:t>As of September 30, 2024 and December 31, 2023, the authorized capital stock of the Company included 150,000,000 shares of common stock, $0.0001 par value.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2024 and December 31, 2023, the Company did not hold any treasury shares.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Public Offering</w:t>
      </w:r>
    </w:p>
    <w:p>
      <w:pPr>
        <w:spacing w:after="0" w:line="115"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On June 21, 2023, the Company completed a public offering of: (i) an aggregate of 4,296,646 shares of its common stock at a public offering price of $14.25 per share, including the underwriters’ full exercise of their option to purchase 619,979 additional shares of common stock, and (ii) pre-funded warrants to purchase 470,000 shares of common stock at a public offering price of $14.2485 per share of common stock underlying the warrants. The purchase price per share for each pre-funded warrant represents the per share offering price for the common stock, less the $0.0015 per share exercise price for each underlying share. Total net proceeds generated from the offering were approximately $63.4 million, after deducting underwriting discounts, commissions and other offering expenses payable by the Company.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ind w:right="60" w:firstLine="445"/>
        <w:spacing w:after="0" w:line="268" w:lineRule="auto"/>
        <w:rPr>
          <w:sz w:val="20"/>
          <w:szCs w:val="20"/>
          <w:color w:val="auto"/>
        </w:rPr>
      </w:pPr>
      <w:r>
        <w:rPr>
          <w:rFonts w:ascii="Arial" w:cs="Arial" w:eastAsia="Arial" w:hAnsi="Arial"/>
          <w:sz w:val="18"/>
          <w:szCs w:val="18"/>
          <w:color w:val="auto"/>
        </w:rPr>
        <w:t>During the nine months ended September 30, 2024, all pre-funded warrants associated with this offering were exercised via a cashless exercise, resulting in 469,981 shares of common stock issued. No cash proceeds associated with the exercise were received by the Company. As of September 30, 2024, there were no pre-funded warrants associated with this offering outstanding.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2024 Public Offering</w:t>
      </w:r>
    </w:p>
    <w:p>
      <w:pPr>
        <w:spacing w:after="0" w:line="115"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On January 16, 2024, the Company completed a public offering of: (i) an aggregate of 3,802,025 shares of its common stock at a public offering price of $35.50 per share, including the underwriters' full exercise of their option to purchase 633,750 additional shares of commons stock, and (ii) pre-funded warrants to purchase 1,056,725 shares of common stock at a public offering price of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the Company.</w:t>
      </w:r>
    </w:p>
    <w:p>
      <w:pPr>
        <w:spacing w:after="0" w:line="60"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During the nine months ended September 30, 2024, 152,145 pre-funded warrants were exercised via a cashless exercise, resulting in 152,142 shares of common stock issued. No cash proceeds associated with the exercise were received by the Company. As of September 30, 2024, a total of 904,580 pre-funded warrants associated with this offering remained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2024 Public Offering</w:t>
      </w:r>
    </w:p>
    <w:p>
      <w:pPr>
        <w:spacing w:after="0" w:line="115"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On April 2, 2024 the Company completed a public offering of: (i) an aggregate of 3,849,558 shares of its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$216.0 million, after deducting underwriting discounts, commissions and other offering expenses payable by the Company.</w:t>
      </w:r>
    </w:p>
    <w:p>
      <w:pPr>
        <w:spacing w:after="0" w:line="74"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As of September 30, 2024, none of the pre-funded warrants had been exercised and all remained outstanding.</w:t>
      </w:r>
    </w:p>
    <w:p>
      <w:pPr>
        <w:spacing w:after="0" w:line="75"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The Company determined that the pre-funded warrants related to the June 2023, January 2024, and April 2024 public offerings are freestanding financial instruments because they are both legally detachable and separately exercisable from the common stock sold in the offering. As such, the Company evaluated the pre-funded warrants to determine whether they represent instruments that require liability classification pursuant to the guidance in ASC 480. However, the Company concluded that the pre-funded warrants are not a liability within the scope of ASC 480 due to their characteristics. Further, the Company determined that the pre-funded warrants do not meet the definition of a derivative under ASC 815 because they do not meet the criteria regarding no or little initial net investment. Accordingly, the Company assessed the pre-funded warrants relative to the guidance in ASC</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ind w:right="100"/>
        <w:spacing w:after="0" w:line="268" w:lineRule="auto"/>
        <w:rPr>
          <w:sz w:val="20"/>
          <w:szCs w:val="20"/>
          <w:color w:val="auto"/>
        </w:rPr>
      </w:pPr>
      <w:r>
        <w:rPr>
          <w:rFonts w:ascii="Arial" w:cs="Arial" w:eastAsia="Arial" w:hAnsi="Arial"/>
          <w:sz w:val="18"/>
          <w:szCs w:val="18"/>
          <w:color w:val="auto"/>
        </w:rPr>
        <w:t xml:space="preserve">No. 815-40,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to determine the appropriate treatment. The Company concluded that the pre-funded warrants are both indexed to its own stock and meet all other conditions for equity classification. Accordingly, the Company has classified the pre-funded warrants as permanent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364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1,829,324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666,163</w:t>
            </w:r>
          </w:p>
        </w:tc>
      </w:tr>
      <w:tr>
        <w:trPr>
          <w:trHeight w:val="215"/>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 related to the June 2023 Financing</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470,000</w:t>
            </w:r>
          </w:p>
        </w:tc>
      </w:tr>
      <w:tr>
        <w:trPr>
          <w:trHeight w:val="217"/>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pre-funded warrants related to the January 2024 Financing</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904,580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 related to the April 2024 Financing</w:t>
            </w:r>
          </w:p>
        </w:tc>
        <w:tc>
          <w:tcPr>
            <w:tcW w:w="1520" w:type="dxa"/>
            <w:vAlign w:val="bottom"/>
          </w:tcPr>
          <w:p>
            <w:pPr>
              <w:jc w:val="right"/>
              <w:spacing w:after="0"/>
              <w:rPr>
                <w:sz w:val="20"/>
                <w:szCs w:val="20"/>
                <w:color w:val="auto"/>
              </w:rPr>
            </w:pPr>
            <w:r>
              <w:rPr>
                <w:rFonts w:ascii="Arial" w:cs="Arial" w:eastAsia="Arial" w:hAnsi="Arial"/>
                <w:sz w:val="16"/>
                <w:szCs w:val="16"/>
                <w:color w:val="auto"/>
              </w:rPr>
              <w:t>221,238</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and Incentive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115,058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148,264</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520" w:type="dxa"/>
            <w:vAlign w:val="bottom"/>
          </w:tcPr>
          <w:p>
            <w:pPr>
              <w:jc w:val="right"/>
              <w:spacing w:after="0"/>
              <w:rPr>
                <w:sz w:val="20"/>
                <w:szCs w:val="20"/>
                <w:color w:val="auto"/>
              </w:rPr>
            </w:pPr>
            <w:r>
              <w:rPr>
                <w:rFonts w:ascii="Arial" w:cs="Arial" w:eastAsia="Arial" w:hAnsi="Arial"/>
                <w:sz w:val="16"/>
                <w:szCs w:val="16"/>
                <w:color w:val="auto"/>
              </w:rPr>
              <w:t>115,883</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53,111</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2024</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Inducement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222,674</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47,145</w:t>
            </w:r>
          </w:p>
        </w:tc>
      </w:tr>
      <w:tr>
        <w:trPr>
          <w:trHeight w:val="235"/>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3,521,531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1,384,683</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5" w:lineRule="exact"/>
        <w:rPr>
          <w:sz w:val="20"/>
          <w:szCs w:val="20"/>
          <w:color w:val="auto"/>
        </w:rPr>
      </w:pPr>
    </w:p>
    <w:p>
      <w:pPr>
        <w:ind w:right="660" w:firstLine="445"/>
        <w:spacing w:after="0" w:line="287" w:lineRule="auto"/>
        <w:rPr>
          <w:sz w:val="20"/>
          <w:szCs w:val="20"/>
          <w:color w:val="auto"/>
        </w:rPr>
      </w:pPr>
      <w:r>
        <w:rPr>
          <w:rFonts w:ascii="Arial" w:cs="Arial" w:eastAsia="Arial" w:hAnsi="Arial"/>
          <w:sz w:val="18"/>
          <w:szCs w:val="18"/>
          <w:color w:val="auto"/>
        </w:rPr>
        <w:t>As of September 30, 2024 and December 31, 2023, the authorized capital stock of the Company included 10,000,000 shares of undesignated preferred stock, $0.0001 par value.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Inducement Plan</w:t>
      </w:r>
    </w:p>
    <w:p>
      <w:pPr>
        <w:spacing w:after="0" w:line="115"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January 2024, the Board of Directors ("the Board") adopted the 2024 Inducement Plan (the "Inducement Plan") without stockholder approval pursuant to Rule 5635(c)(4) of the Nasdaq Stock Market LLC listing rules ("Rule 5635(c)(4)"). In accordance with Rule 5635(c)(4), the Inducement Plan allows the Company to grant awards only to a newly hired employee who was not previously an employee or non-employee director or to an employee who is being rehired following a bona fide period of non-employment if such award is a material inducement to such employee entering into employment. The total shares of common stock initially authorized for issuance under the Inducement Plan was 1,000,000. In June 2024, the common stock authorized for issuance under the Inducement Plan was reduced by 870,000 shares following stockholder approval of an increase in the shares available for grant under the 2020 Stock Option and Incentive Plan (the "2020 Plan"). The total number of shares of common stock authorized for issuance under the Inducement Plan as of September 30, 2024 was 130,000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15" w:lineRule="exact"/>
        <w:rPr>
          <w:sz w:val="20"/>
          <w:szCs w:val="20"/>
          <w:color w:val="auto"/>
        </w:rPr>
      </w:pPr>
    </w:p>
    <w:p>
      <w:pPr>
        <w:ind w:right="118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2020 Plan as of September 30, 2024 and December 31, 2023 was 1,970,833 shares and 661,240 shares,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15" w:lineRule="exact"/>
        <w:rPr>
          <w:sz w:val="20"/>
          <w:szCs w:val="20"/>
          <w:color w:val="auto"/>
        </w:rPr>
      </w:pPr>
    </w:p>
    <w:p>
      <w:pPr>
        <w:ind w:right="520" w:firstLine="445"/>
        <w:spacing w:after="0" w:line="268" w:lineRule="auto"/>
        <w:rPr>
          <w:sz w:val="20"/>
          <w:szCs w:val="20"/>
          <w:color w:val="auto"/>
        </w:rPr>
      </w:pPr>
      <w:r>
        <w:rPr>
          <w:rFonts w:ascii="Arial" w:cs="Arial" w:eastAsia="Arial" w:hAnsi="Arial"/>
          <w:sz w:val="18"/>
          <w:szCs w:val="18"/>
          <w:color w:val="auto"/>
        </w:rPr>
        <w:t>The total number of shares of common stock authorized for issuance under the 2017 Stock Incentive Plan (the "2017 Plan") as of September 30, 2024 and December 31, 2023 was 395,850 shares. Any authorization to issue new options under the 2017 Plan was cancelled upon the effectiveness of the 2020 Plan and no further awards will be granted under the 2017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5" w:lineRule="exact"/>
        <w:rPr>
          <w:sz w:val="20"/>
          <w:szCs w:val="20"/>
          <w:color w:val="auto"/>
        </w:rPr>
      </w:pPr>
    </w:p>
    <w:p>
      <w:pPr>
        <w:ind w:right="62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2020 Employee Stock Purchase Plan (the "2020 ESPP”) as of September 30, 2024 and December 31, 2023 was 175,145 shares and 87,227 shares,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2023</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47,145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202.27</w:t>
            </w:r>
          </w:p>
        </w:tc>
        <w:tc>
          <w:tcPr>
            <w:tcW w:w="0" w:type="dxa"/>
            <w:vAlign w:val="bottom"/>
          </w:tcPr>
          <w:p>
            <w:pPr>
              <w:spacing w:after="0"/>
              <w:rPr>
                <w:sz w:val="1"/>
                <w:szCs w:val="1"/>
                <w:color w:val="auto"/>
              </w:rPr>
            </w:pPr>
          </w:p>
        </w:tc>
      </w:tr>
      <w:tr>
        <w:trPr>
          <w:trHeight w:val="215"/>
        </w:trPr>
        <w:tc>
          <w:tcPr>
            <w:tcW w:w="8040" w:type="dxa"/>
            <w:vAlign w:val="bottom"/>
          </w:tcPr>
          <w:p>
            <w:pPr>
              <w:ind w:left="240"/>
              <w:spacing w:after="0"/>
              <w:rPr>
                <w:sz w:val="20"/>
                <w:szCs w:val="20"/>
                <w:color w:val="auto"/>
              </w:rPr>
            </w:pPr>
            <w:r>
              <w:rPr>
                <w:rFonts w:ascii="Arial" w:cs="Arial" w:eastAsia="Arial" w:hAnsi="Arial"/>
                <w:sz w:val="16"/>
                <w:szCs w:val="16"/>
                <w:color w:val="auto"/>
              </w:rPr>
              <w:t>Issued</w:t>
            </w:r>
          </w:p>
        </w:tc>
        <w:tc>
          <w:tcPr>
            <w:tcW w:w="1540" w:type="dxa"/>
            <w:vAlign w:val="bottom"/>
          </w:tcPr>
          <w:p>
            <w:pPr>
              <w:jc w:val="right"/>
              <w:spacing w:after="0"/>
              <w:rPr>
                <w:sz w:val="20"/>
                <w:szCs w:val="20"/>
                <w:color w:val="auto"/>
              </w:rPr>
            </w:pPr>
            <w:r>
              <w:rPr>
                <w:rFonts w:ascii="Arial" w:cs="Arial" w:eastAsia="Arial" w:hAnsi="Arial"/>
                <w:sz w:val="16"/>
                <w:szCs w:val="16"/>
                <w:color w:val="auto"/>
              </w:rPr>
              <w:t>197,097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51.98</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309.13</w:t>
            </w:r>
          </w:p>
        </w:tc>
        <w:tc>
          <w:tcPr>
            <w:tcW w:w="0" w:type="dxa"/>
            <w:vAlign w:val="bottom"/>
          </w:tcPr>
          <w:p>
            <w:pPr>
              <w:spacing w:after="0"/>
              <w:rPr>
                <w:sz w:val="1"/>
                <w:szCs w:val="1"/>
                <w:color w:val="auto"/>
              </w:rPr>
            </w:pPr>
          </w:p>
        </w:tc>
      </w:tr>
      <w:tr>
        <w:trPr>
          <w:trHeight w:val="21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54.86</w:t>
            </w:r>
          </w:p>
        </w:tc>
        <w:tc>
          <w:tcPr>
            <w:tcW w:w="0" w:type="dxa"/>
            <w:vAlign w:val="bottom"/>
          </w:tcPr>
          <w:p>
            <w:pPr>
              <w:spacing w:after="0"/>
              <w:rPr>
                <w:sz w:val="1"/>
                <w:szCs w:val="1"/>
                <w:color w:val="auto"/>
              </w:rPr>
            </w:pP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September 30,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222,674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right="140" w:firstLine="445"/>
        <w:spacing w:after="0" w:line="287" w:lineRule="auto"/>
        <w:rPr>
          <w:sz w:val="20"/>
          <w:szCs w:val="20"/>
          <w:color w:val="auto"/>
        </w:rPr>
      </w:pPr>
      <w:r>
        <w:rPr>
          <w:rFonts w:ascii="Arial" w:cs="Arial" w:eastAsia="Arial" w:hAnsi="Arial"/>
          <w:sz w:val="18"/>
          <w:szCs w:val="18"/>
          <w:color w:val="auto"/>
        </w:rPr>
        <w:t>As of September 30, 2024, total unrecognized compensation cost related to unvested restricted stock units was $11.9 million, which is expected to be recognized over a weighted-average period of 2.84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4"/>
                <w:szCs w:val="14"/>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Exercise Price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per Share</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8"/>
                <w:szCs w:val="18"/>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2023</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160.19</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1,195,546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51.43</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127.76</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September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1,829,324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12,800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September 30, 2024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7.93</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6,963</w:t>
            </w:r>
          </w:p>
        </w:tc>
        <w:tc>
          <w:tcPr>
            <w:tcW w:w="0" w:type="dxa"/>
            <w:vAlign w:val="bottom"/>
          </w:tcPr>
          <w:p>
            <w:pPr>
              <w:spacing w:after="0" w:line="20" w:lineRule="exact"/>
              <w:rPr>
                <w:sz w:val="1"/>
                <w:szCs w:val="1"/>
                <w:color w:val="auto"/>
              </w:rPr>
            </w:pPr>
          </w:p>
        </w:tc>
      </w:tr>
      <w:tr>
        <w:trPr>
          <w:trHeight w:val="189"/>
        </w:trPr>
        <w:tc>
          <w:tcPr>
            <w:tcW w:w="4820" w:type="dxa"/>
            <w:vAlign w:val="bottom"/>
            <w:vMerge w:val="continue"/>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878,111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121.03</w:t>
            </w: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September 30, 2024</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1,829,324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12,800</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115" w:lineRule="exact"/>
        <w:rPr>
          <w:sz w:val="20"/>
          <w:szCs w:val="20"/>
          <w:color w:val="auto"/>
        </w:rPr>
      </w:pPr>
    </w:p>
    <w:p>
      <w:pPr>
        <w:jc w:val="both"/>
        <w:ind w:right="160" w:firstLine="445"/>
        <w:spacing w:after="0" w:line="268"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and non-employees on the date of grant were as follows for the three and nine months ended September 30, 2024: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7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60" w:type="dxa"/>
            <w:vAlign w:val="bottom"/>
          </w:tcPr>
          <w:p>
            <w:pPr>
              <w:jc w:val="center"/>
              <w:ind w:right="11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78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2024</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4.01 %</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96.48 %</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grant-date fair value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40.73</w:t>
            </w:r>
          </w:p>
        </w:tc>
      </w:tr>
    </w:tbl>
    <w:p>
      <w:pPr>
        <w:spacing w:after="0" w:line="278" w:lineRule="exact"/>
        <w:rPr>
          <w:sz w:val="20"/>
          <w:szCs w:val="20"/>
          <w:color w:val="auto"/>
        </w:rPr>
      </w:pPr>
    </w:p>
    <w:p>
      <w:pPr>
        <w:ind w:right="720" w:firstLine="445"/>
        <w:spacing w:after="0" w:line="287" w:lineRule="auto"/>
        <w:rPr>
          <w:sz w:val="20"/>
          <w:szCs w:val="20"/>
          <w:color w:val="auto"/>
        </w:rPr>
      </w:pPr>
      <w:r>
        <w:rPr>
          <w:rFonts w:ascii="Arial" w:cs="Arial" w:eastAsia="Arial" w:hAnsi="Arial"/>
          <w:sz w:val="18"/>
          <w:szCs w:val="18"/>
          <w:color w:val="auto"/>
        </w:rPr>
        <w:t>As of September 30, 2024, total unrecognized compensation cost related to unvested stock options was $43.6 million, which is expected to be recognized over a weighted-average period of 2.55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26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10"/>
        </w:trPr>
        <w:tc>
          <w:tcPr>
            <w:tcW w:w="47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6,176</w:t>
            </w:r>
          </w:p>
        </w:tc>
      </w:tr>
      <w:tr>
        <w:trPr>
          <w:trHeight w:val="215"/>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7,792</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20,487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12,955</w:t>
            </w:r>
          </w:p>
        </w:tc>
      </w:tr>
      <w:tr>
        <w:trPr>
          <w:trHeight w:val="23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12,432</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19,131</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17" w:lineRule="exact"/>
        <w:rPr>
          <w:sz w:val="20"/>
          <w:szCs w:val="20"/>
          <w:color w:val="auto"/>
        </w:rPr>
      </w:pPr>
    </w:p>
    <w:p>
      <w:pPr>
        <w:ind w:right="280" w:firstLine="445"/>
        <w:spacing w:after="0" w:line="268" w:lineRule="auto"/>
        <w:rPr>
          <w:sz w:val="20"/>
          <w:szCs w:val="20"/>
          <w:color w:val="auto"/>
        </w:rPr>
      </w:pPr>
      <w:r>
        <w:rPr>
          <w:rFonts w:ascii="Arial" w:cs="Arial" w:eastAsia="Arial" w:hAnsi="Arial"/>
          <w:sz w:val="18"/>
          <w:szCs w:val="18"/>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32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14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820" w:type="dxa"/>
            <w:vAlign w:val="bottom"/>
          </w:tcPr>
          <w:p>
            <w:pPr>
              <w:spacing w:after="0"/>
              <w:rPr>
                <w:sz w:val="18"/>
                <w:szCs w:val="18"/>
                <w:color w:val="auto"/>
              </w:rPr>
            </w:pPr>
          </w:p>
        </w:tc>
        <w:tc>
          <w:tcPr>
            <w:tcW w:w="216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09"/>
        </w:trPr>
        <w:tc>
          <w:tcPr>
            <w:tcW w:w="48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1,829,324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658,417</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1,829,324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658,417</w:t>
            </w: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222,674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42,241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222,674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42,241</w:t>
            </w: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2020 ESPP</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10,780</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10,780</w:t>
            </w:r>
          </w:p>
        </w:tc>
      </w:tr>
      <w:tr>
        <w:trPr>
          <w:trHeight w:val="210"/>
        </w:trPr>
        <w:tc>
          <w:tcPr>
            <w:tcW w:w="48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2,059,389</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711,438</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2,059,389</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711,438</w:t>
            </w:r>
          </w:p>
        </w:tc>
      </w:tr>
      <w:tr>
        <w:trPr>
          <w:trHeight w:val="21"/>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Common shares issuable upon exercise of the pre-funded warrants that were sold in connection with the June 2023, January 2024, and April 2024 underwritten public offering are included in the calculation of basic weighted average number of common shares outstanding for the three and nine months ended September 30, 2024.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basic net loss per share from the date of issuance.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 activities performed under the License Agreement. Expenses incurred during all periods presented were not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17"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(the "SEC") on March 5, 2024.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for the year ended December 31, 2023, our actual results could differ materially from the results described in or implied by the forward-looking statements contained in the following discussion and analysis.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69" w:lineRule="exact"/>
        <w:rPr>
          <w:sz w:val="20"/>
          <w:szCs w:val="20"/>
          <w:color w:val="auto"/>
        </w:rPr>
      </w:pPr>
    </w:p>
    <w:p>
      <w:pPr>
        <w:ind w:left="660" w:right="120" w:hanging="328"/>
        <w:spacing w:after="0" w:line="237"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our small molecule platform, utilizes deep understanding of neuronal excitability and neuronal networks and applies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computational and experimental tools to develop orally available precision therapies</w:t>
      </w:r>
    </w:p>
    <w:p>
      <w:pPr>
        <w:spacing w:after="0" w:line="139" w:lineRule="exact"/>
        <w:rPr>
          <w:rFonts w:ascii="Arial" w:cs="Arial" w:eastAsia="Arial" w:hAnsi="Arial"/>
          <w:sz w:val="22"/>
          <w:szCs w:val="22"/>
          <w:color w:val="auto"/>
        </w:rPr>
      </w:pPr>
    </w:p>
    <w:p>
      <w:pPr>
        <w:ind w:left="660" w:right="18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our antisense oligonucleotide, or ASO, platform, is an efficient, targeted precision medicine discovery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anchored on a proprietary, computational methodology</w:t>
      </w:r>
    </w:p>
    <w:p>
      <w:pPr>
        <w:spacing w:after="0" w:line="153"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 For our most advanced product candidate under the Cerebrum™ platform, ulixacaltamide, our Phase 3 Essential3 clinical trials in essential tremor, or ET, are ongoing. We are planning to conduct an interim analysis in the first quarter of 2025. Within our vormatrigine program (formerly known as PRAX-628), we announced positive results from our Photo-Paroxysmal Response ("PPR") study in the first quarter of 2024, and have initiated or plan to initiate four studies to generate patient eligibility, efficacy, safety and pharmacokinetics (PK) data for the program. We initiated an observational study of vormatrigine in patients with epilepsy in the third quarter of 2024, and iniatiated or plan to initiate three efficacy studies. The first efficacy study will be an open label eight-week study in patients with focal onset seizures or generalized epilepsy to be initiated in the fourth quarter of 2024, with topline results expected in the first half of 2025. We have also initiated a double-blind, placebo-controlled, 12-week study in focal onset seizures in the fourth quarter of 2024, with topline results expected in the second half of 2025, and plan to initiate a third efficacy study in the first half of 2025. Within our relutrigine program (formerly known as PRAX-562), we announced positive topline results from the first cohort of our EMBOLD study in the third quarter of 2024, and have initiated enrollment of the second cohort, with topline results expected in the first half of 2026. For our most advanced product candidate under the Solidus™ platform, elsunersen (formerly known as PRAX-222), we shared results from Part 1 of the EMBRAVE study in the fourth quarter of 2023, and have initiated the first arm of our global confirmatory study in Brazil. We are currently completing multiple global regulatory interactions to further expand the pivotal phase of the program later in 2024.</w:t>
      </w:r>
    </w:p>
    <w:p>
      <w:pPr>
        <w:spacing w:after="0" w:line="193" w:lineRule="exact"/>
        <w:rPr>
          <w:sz w:val="20"/>
          <w:szCs w:val="20"/>
          <w:color w:val="auto"/>
        </w:rPr>
      </w:pPr>
    </w:p>
    <w:p>
      <w:pPr>
        <w:ind w:right="60" w:firstLine="445"/>
        <w:spacing w:after="0" w:line="282" w:lineRule="auto"/>
        <w:rPr>
          <w:sz w:val="20"/>
          <w:szCs w:val="20"/>
          <w:color w:val="auto"/>
        </w:rPr>
      </w:pPr>
      <w:r>
        <w:rPr>
          <w:rFonts w:ascii="Arial" w:cs="Arial" w:eastAsia="Arial" w:hAnsi="Arial"/>
          <w:sz w:val="17"/>
          <w:szCs w:val="17"/>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22" w:name="page23"/>
    <w:bookmarkEnd w:id="22"/>
    <w:p>
      <w:pPr>
        <w:ind w:right="440"/>
        <w:spacing w:after="0" w:line="287" w:lineRule="auto"/>
        <w:rPr>
          <w:sz w:val="20"/>
          <w:szCs w:val="20"/>
          <w:color w:val="auto"/>
        </w:rPr>
      </w:pPr>
      <w:r>
        <w:rPr>
          <w:rFonts w:ascii="Arial" w:cs="Arial" w:eastAsia="Arial" w:hAnsi="Arial"/>
          <w:sz w:val="18"/>
          <w:szCs w:val="18"/>
          <w:color w:val="auto"/>
        </w:rPr>
        <w:t>organizations, or CROs, to conduct our preclinical and clinical activities. Since inception, we have financed our operations primarily with proceeds from the sale and issuance of equity securities.</w:t>
      </w:r>
    </w:p>
    <w:p>
      <w:pPr>
        <w:spacing w:after="0" w:line="153"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$ 124.1 million for the nine months ended September 30, 2024. As of September 30, 2024, we had an accumulated deficit of $778.1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2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our lead product candidate, ulixacaltamide, through the Phase 3 Essential3 clinical trial program for 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relutrigine (formally PRAX-562) in the EMBOLD and EMERALD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elsunersen (formerly PRAX-222) into the pivotal stage of the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vormatrigine (formerly PRAX-628) into efficacy clinical trials for focal onset seizures or generalized epilepsy;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our preclinical candidates to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expand, protect and defend our IP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71"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 needed, increase our headcount to support our development efforts and any future commercialization efforts.</w:t>
      </w:r>
    </w:p>
    <w:p>
      <w:pPr>
        <w:spacing w:after="0" w:line="2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2"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6"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As of September 30, 2024, we had cash, cash equivalents and marketable securities of $411.2 million. We expect that our cash, cash equivalents and marketable securities as of September 30, 2024 will be sufficient to fund our operating expenditures and capital expenditure requirements necessary to advance our research efforts and clinical trials into 2027. The analysis included consideration of our current financial needs and ongoing research and</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23" w:name="page24"/>
    <w:bookmarkEnd w:id="23"/>
    <w:p>
      <w:pPr>
        <w:ind w:right="140"/>
        <w:spacing w:after="0" w:line="287" w:lineRule="auto"/>
        <w:rPr>
          <w:sz w:val="20"/>
          <w:szCs w:val="20"/>
          <w:color w:val="auto"/>
        </w:rPr>
      </w:pPr>
      <w:r>
        <w:rPr>
          <w:rFonts w:ascii="Arial" w:cs="Arial" w:eastAsia="Arial" w:hAnsi="Arial"/>
          <w:sz w:val="18"/>
          <w:szCs w:val="18"/>
          <w:color w:val="auto"/>
        </w:rPr>
        <w:t>development plans. We have based this estimate on assumptions that may provide to be wrong, and we could exhaust our available capital resources sooner than we expect. See “—Liquidity and Capital Resources.”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5" w:lineRule="exact"/>
        <w:rPr>
          <w:sz w:val="20"/>
          <w:szCs w:val="20"/>
          <w:color w:val="auto"/>
        </w:rPr>
      </w:pPr>
    </w:p>
    <w:p>
      <w:pPr>
        <w:ind w:right="480" w:firstLine="445"/>
        <w:spacing w:after="0" w:line="268" w:lineRule="auto"/>
        <w:rPr>
          <w:sz w:val="20"/>
          <w:szCs w:val="20"/>
          <w:color w:val="auto"/>
        </w:rPr>
      </w:pPr>
      <w:r>
        <w:rPr>
          <w:rFonts w:ascii="Arial" w:cs="Arial" w:eastAsia="Arial" w:hAnsi="Arial"/>
          <w:sz w:val="18"/>
          <w:szCs w:val="18"/>
          <w:color w:val="auto"/>
        </w:rPr>
        <w:t>On November 28, 2023, we filed a Certificate of Amendment to our Amended and Restated Certificate of Incorporation with the Secretary of State of the State of Delaware to effect a 1-for-15 reverse stock split of our common stock, or the Reverse Stock Split. The Reverse Stock Split became effective at 5:00 p.m., Eastern Time, on November 28, 2023, or the Effective Time.</w:t>
      </w:r>
    </w:p>
    <w:p>
      <w:pPr>
        <w:spacing w:after="0" w:line="171" w:lineRule="exact"/>
        <w:rPr>
          <w:sz w:val="20"/>
          <w:szCs w:val="20"/>
          <w:color w:val="auto"/>
        </w:rPr>
      </w:pPr>
    </w:p>
    <w:p>
      <w:pPr>
        <w:ind w:right="300" w:firstLine="445"/>
        <w:spacing w:after="0" w:line="262" w:lineRule="auto"/>
        <w:rPr>
          <w:sz w:val="20"/>
          <w:szCs w:val="20"/>
          <w:color w:val="auto"/>
        </w:rPr>
      </w:pPr>
      <w:r>
        <w:rPr>
          <w:rFonts w:ascii="Arial" w:cs="Arial" w:eastAsia="Arial" w:hAnsi="Arial"/>
          <w:sz w:val="18"/>
          <w:szCs w:val="18"/>
          <w:color w:val="auto"/>
        </w:rPr>
        <w:t>As a result of the Reverse Stock Split, every 15 shares of our issued and outstanding common stock were automatically reclassified into one validly issued, fully-paid and non-assessable share of common stock, subject to the treatment of fractional shares as described below, without any action on the part of the holders thereof. The Reverse Stock Split did not affect the number of authorized shares of common stock or the par value of the common stock.</w:t>
      </w:r>
    </w:p>
    <w:p>
      <w:pPr>
        <w:spacing w:after="0" w:line="176"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No fractional shares were issued in connection with the Reverse Stock Split. Stockholders who would otherwise be entitled to receive fractional shares as a result of the Reverse Stock Split were entitled to a cash payment in lieu thereof at a price equal to the fraction to which the stockholder would otherwise be entitled, multiplied by the closing price per share of the common stock (as adjusted for the Reverse Stock Split) on the Nasdaq Global Select Market on November 28, 2023, the last trading day immediately preceding the Effective Time.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20" w:firstLine="445"/>
        <w:spacing w:after="0" w:line="278" w:lineRule="auto"/>
        <w:rPr>
          <w:sz w:val="20"/>
          <w:szCs w:val="20"/>
          <w:color w:val="auto"/>
        </w:rPr>
      </w:pPr>
      <w:r>
        <w:rPr>
          <w:rFonts w:ascii="Arial" w:cs="Arial" w:eastAsia="Arial" w:hAnsi="Arial"/>
          <w:sz w:val="17"/>
          <w:szCs w:val="17"/>
          <w:color w:val="auto"/>
        </w:rPr>
        <w:t>We have not generated any revenue from the sale of products since inception and do not expect to generate any revenue from the sale of products for several years, if at all. As discussed in Note 7 to our condensed consolidated financial statements, we entered into an Option and License Agreement, or the Collaboration Agreement, with UCB Biopharma SRL, or UCB, in December 2022. We recognized $0.3 million and $1.1 million, respectively, of collaboration revenue from the Collaboration Agreement during the three and nine months ended September 30, 2024, compared to $0.5 million and $1.9 million, respectively, during the three and nine months ended September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5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development costs for our product candidates; and</w:t>
      </w:r>
    </w:p>
    <w:p>
      <w:pPr>
        <w:spacing w:after="0" w:line="171" w:lineRule="exact"/>
        <w:rPr>
          <w:rFonts w:ascii="Arial" w:cs="Arial" w:eastAsia="Arial" w:hAnsi="Arial"/>
          <w:sz w:val="18"/>
          <w:szCs w:val="18"/>
          <w:color w:val="auto"/>
        </w:rPr>
      </w:pPr>
    </w:p>
    <w:p>
      <w:pPr>
        <w:ind w:left="460" w:right="5340" w:hanging="128"/>
        <w:spacing w:after="0" w:line="438" w:lineRule="auto"/>
        <w:tabs>
          <w:tab w:leader="none" w:pos="6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 The costs above comprise the following categories: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171"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CROs, that conduct our preclinical and clinical studies and in-licensing arrangements;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171"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98"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and other operating costs, such as information technology, incurred as a result of our research and development activities.</w:t>
      </w:r>
    </w:p>
    <w:p>
      <w:pPr>
        <w:spacing w:after="0" w:line="153" w:lineRule="exact"/>
        <w:rPr>
          <w:sz w:val="20"/>
          <w:szCs w:val="20"/>
          <w:color w:val="auto"/>
        </w:rPr>
      </w:pPr>
    </w:p>
    <w:p>
      <w:pPr>
        <w:ind w:right="340" w:firstLine="445"/>
        <w:spacing w:after="0" w:line="287"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w:t>
      </w:r>
    </w:p>
    <w:p>
      <w:pPr>
        <w:sectPr>
          <w:pgSz w:w="11900" w:h="16838" w:orient="portrait"/>
          <w:cols w:equalWidth="0" w:num="1">
            <w:col w:w="11220"/>
          </w:cols>
          <w:pgMar w:left="320" w:top="1106" w:right="35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type w:val="continuous"/>
        </w:sectPr>
      </w:pPr>
    </w:p>
    <w:bookmarkStart w:id="24" w:name="page25"/>
    <w:bookmarkEnd w:id="24"/>
    <w:p>
      <w:pPr>
        <w:jc w:val="both"/>
        <w:ind w:right="180"/>
        <w:spacing w:after="0" w:line="259" w:lineRule="auto"/>
        <w:rPr>
          <w:sz w:val="20"/>
          <w:szCs w:val="20"/>
          <w:color w:val="auto"/>
        </w:rPr>
      </w:pPr>
      <w:r>
        <w:rPr>
          <w:rFonts w:ascii="Arial" w:cs="Arial" w:eastAsia="Arial" w:hAnsi="Arial"/>
          <w:sz w:val="18"/>
          <w:szCs w:val="18"/>
          <w:color w:val="auto"/>
        </w:rPr>
        <w:t>our clinical investigative sites. Payments for these activities are based on the terms of the individual agreements, which may differ from the pattern of costs incurred, and are reflected in our condensed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79"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As a company operating in a virtual environment, a significant portion of our research and development costs have been external costs incurred by third-parties.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spacing w:after="0" w:line="179"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The following table reflects our research and development expenses, including direct expenses summarized by platform and indirect or shared operating costs recognized as research and development expenses during each period presented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5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8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10"/>
        </w:trPr>
        <w:tc>
          <w:tcPr>
            <w:tcW w:w="48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27,474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23,857</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Solidus™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4,197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16,330</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10,863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21,744</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6,447</w:t>
            </w: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41,881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17,260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96,125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68,378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79"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2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71"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FDA or any comparable foreign regulatory authority;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171" w:lineRule="exact"/>
        <w:rPr>
          <w:rFonts w:ascii="Arial" w:cs="Arial" w:eastAsia="Arial" w:hAnsi="Arial"/>
          <w:sz w:val="18"/>
          <w:szCs w:val="18"/>
          <w:color w:val="auto"/>
        </w:rPr>
      </w:pPr>
    </w:p>
    <w:p>
      <w:pPr>
        <w:ind w:left="660" w:right="112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98"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5" w:name="page26"/>
    <w:bookmarkEnd w:id="25"/>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9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98"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IP protection and regulatory exclusivity for our product candidates, if approved;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commercialize products, if approved, whether alone or in collaboration with others;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continued acceptable safety profiles of our product candidates.</w:t>
      </w:r>
    </w:p>
    <w:p>
      <w:pPr>
        <w:spacing w:after="0" w:line="225"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5"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 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 or any individual platform or product candidate.</w:t>
      </w:r>
    </w:p>
    <w:p>
      <w:pPr>
        <w:spacing w:after="0" w:line="185"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5" w:lineRule="exact"/>
        <w:rPr>
          <w:sz w:val="20"/>
          <w:szCs w:val="20"/>
          <w:color w:val="auto"/>
        </w:rPr>
      </w:pPr>
    </w:p>
    <w:p>
      <w:pPr>
        <w:ind w:right="900" w:firstLine="445"/>
        <w:spacing w:after="0" w:line="287"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 and discounts.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There was no income tax provision recognized for the three and nine months ended September 30, 2024 and 2023.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2024 and 2023</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ectPr>
          <w:pgSz w:w="11900" w:h="16838" w:orient="portrait"/>
          <w:cols w:equalWidth="0" w:num="1">
            <w:col w:w="11220"/>
          </w:cols>
          <w:pgMar w:left="320" w:top="1052"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41,881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24,621</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6,532</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57,137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25,984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31,153</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(56,835)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(31,319)</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4,041</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4,041</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(51,910)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(27,278)</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5"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The $ 0.2 million decrease in collaboration revenue is associated with a decrease in the revenue recorded under the Collaboration Agreement with UCB that was executed in December 2022. Changes in revenue recognized each period reflect timing of research services provided and costs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5"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21,642</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3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24,621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$24.6 million increase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$21.6 million increase in expense related to our Cerebrum™ platform, driven primarily by:</w:t>
      </w:r>
    </w:p>
    <w:p>
      <w:pPr>
        <w:spacing w:after="0" w:line="171" w:lineRule="exact"/>
        <w:rPr>
          <w:rFonts w:ascii="Arial" w:cs="Arial" w:eastAsia="Arial" w:hAnsi="Arial"/>
          <w:sz w:val="18"/>
          <w:szCs w:val="18"/>
          <w:color w:val="auto"/>
        </w:rPr>
      </w:pPr>
    </w:p>
    <w:p>
      <w:pPr>
        <w:ind w:left="1300" w:hanging="320"/>
        <w:spacing w:after="0" w:line="28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$15.7 million increase in spend for our ulixacaltamide program, primarily due to Essential3 study spend, as well as Phase 1 trial spend, partially offset by completion of our Essential1 study in the prior year;</w:t>
      </w:r>
    </w:p>
    <w:p>
      <w:pPr>
        <w:spacing w:after="0" w:line="98" w:lineRule="exact"/>
        <w:rPr>
          <w:rFonts w:ascii="Arial" w:cs="Arial" w:eastAsia="Arial" w:hAnsi="Arial"/>
          <w:sz w:val="18"/>
          <w:szCs w:val="18"/>
          <w:color w:val="auto"/>
        </w:rPr>
      </w:pPr>
    </w:p>
    <w:p>
      <w:pPr>
        <w:ind w:left="1300" w:right="200" w:hanging="320"/>
        <w:spacing w:after="0" w:line="28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$5.4 million increase in spend for our vormatrigine program, primarily related to current quarter POWER1, RADIANT and EMPOWER study startup activities, Phase 1 trial spend and manufacturing spend; and</w:t>
      </w:r>
    </w:p>
    <w:p>
      <w:pPr>
        <w:spacing w:after="0" w:line="98"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$0.5 million increase in spend for our relutrigine program, primarily related to the EMBOLD Phase 2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$4.0 million increase in personnel-related costs, including stock-based compensation expense, due to increased headcount;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$0.4 million increase in indirect expenses driven primarily by consulting spend; and</w:t>
      </w:r>
    </w:p>
    <w:p>
      <w:pPr>
        <w:spacing w:after="0" w:line="171" w:lineRule="exact"/>
        <w:rPr>
          <w:rFonts w:ascii="Arial" w:cs="Arial" w:eastAsia="Arial" w:hAnsi="Arial"/>
          <w:sz w:val="18"/>
          <w:szCs w:val="18"/>
          <w:color w:val="auto"/>
        </w:rPr>
      </w:pPr>
    </w:p>
    <w:p>
      <w:pPr>
        <w:ind w:left="660" w:right="64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$1.5 million decrease in expense related to our Solidus™ platform, driven by prior year spend associated with our elsunersen program.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t>The $6.5 million increase in general and administrative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$4.6 million increase in personnel-related costs, mainly due to increased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$1.4 million increase in professional expenses mainly due to increased legal, audit and other consulting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$0.5 million increase in other expenses, none of which were individually significant.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jc w:val="both"/>
        <w:ind w:right="260" w:firstLine="445"/>
        <w:spacing w:after="0" w:line="268" w:lineRule="auto"/>
        <w:rPr>
          <w:sz w:val="20"/>
          <w:szCs w:val="20"/>
          <w:color w:val="auto"/>
        </w:rPr>
      </w:pPr>
      <w:r>
        <w:rPr>
          <w:rFonts w:ascii="Arial" w:cs="Arial" w:eastAsia="Arial" w:hAnsi="Arial"/>
          <w:sz w:val="18"/>
          <w:szCs w:val="18"/>
          <w:color w:val="auto"/>
        </w:rPr>
        <w:t>Other income for the three months ended September 30, 2024 was comprised of interest income on our cash, cash equivalents, and marketable securities and investment premium and discount amortization. Other income for the three months ended September 30, 2023 was compromised of interest income on our cash and cash equivalents.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2024 and 2023</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ind w:left="50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96,125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27,747</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41,174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32,121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9,053</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137,299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100,499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36,800</w:t>
            </w:r>
          </w:p>
        </w:tc>
        <w:tc>
          <w:tcPr>
            <w:tcW w:w="0" w:type="dxa"/>
            <w:vAlign w:val="bottom"/>
          </w:tcPr>
          <w:p>
            <w:pPr>
              <w:spacing w:after="0"/>
              <w:rPr>
                <w:sz w:val="1"/>
                <w:szCs w:val="1"/>
                <w:color w:val="auto"/>
              </w:rPr>
            </w:pPr>
          </w:p>
        </w:tc>
      </w:tr>
      <w:tr>
        <w:trPr>
          <w:trHeight w:val="209"/>
        </w:trPr>
        <w:tc>
          <w:tcPr>
            <w:tcW w:w="64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(136,209)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(98,567)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(37,642)</w:t>
            </w: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9,901</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(124,140)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(96,399)</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(27,741)</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5"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The $ 0.8 million decrease in collaboration revenue is associated with a decrease in the revenue recorded under the Collaboration Agreement with UCB that was executed in December 2022. Changes in revenue recognized each period reflect timing of research services provided and costs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5"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8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31,369</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4,197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(12,133)</w:t>
            </w: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8,521</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96,125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68,378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27,747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$27.7 million increase in research and development expenses was primarily attributable to the following: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$31.4 million increase in expense related to our Cerebrum™ platform, driven primarily by:</w:t>
      </w:r>
    </w:p>
    <w:p>
      <w:pPr>
        <w:spacing w:after="0" w:line="171" w:lineRule="exact"/>
        <w:rPr>
          <w:rFonts w:ascii="Arial" w:cs="Arial" w:eastAsia="Arial" w:hAnsi="Arial"/>
          <w:sz w:val="18"/>
          <w:szCs w:val="18"/>
          <w:color w:val="auto"/>
        </w:rPr>
      </w:pPr>
    </w:p>
    <w:p>
      <w:pPr>
        <w:ind w:left="1300" w:right="280" w:hanging="320"/>
        <w:spacing w:after="0" w:line="28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$29.5 million increase in spend for our ulixacaltamide program, primarily due to clinical-related activities for our Phase 3 program in ulixacaltamide and Phase 1 trial spend, partially offset by prior year Essential1 study activity;</w:t>
      </w:r>
    </w:p>
    <w:p>
      <w:pPr>
        <w:spacing w:after="0" w:line="98" w:lineRule="exact"/>
        <w:rPr>
          <w:rFonts w:ascii="Arial" w:cs="Arial" w:eastAsia="Arial" w:hAnsi="Arial"/>
          <w:sz w:val="18"/>
          <w:szCs w:val="18"/>
          <w:color w:val="auto"/>
        </w:rPr>
      </w:pPr>
    </w:p>
    <w:p>
      <w:pPr>
        <w:ind w:left="1300" w:right="220" w:hanging="320"/>
        <w:spacing w:after="0" w:line="28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$3.2 million increase in clinical-related spend for our vormatrigine program, primarily driven by current quarter POWER1, RADIANT, and EMPOWER study startup activities and manufacturing spend;</w:t>
      </w:r>
    </w:p>
    <w:p>
      <w:pPr>
        <w:spacing w:after="0" w:line="98"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$0.3 million increase in spend for our relutrigine program related to our EMBOLD study;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$1.6 million decrease in activities for our earlier stage assets.</w:t>
      </w:r>
    </w:p>
    <w:p>
      <w:pPr>
        <w:spacing w:after="0" w:line="171" w:lineRule="exact"/>
        <w:rPr>
          <w:rFonts w:ascii="Arial" w:cs="Arial" w:eastAsia="Arial" w:hAnsi="Arial"/>
          <w:sz w:val="18"/>
          <w:szCs w:val="18"/>
          <w:color w:val="auto"/>
        </w:rPr>
      </w:pPr>
    </w:p>
    <w:p>
      <w:pPr>
        <w:ind w:left="660" w:right="380" w:hanging="328"/>
        <w:spacing w:after="0" w:line="31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$12.1 million decrease in expense related to our Solidus™ platform, driven by a prior year $6.9 million milestone payment due to Ionis Pharmaceuticals Inc., or Ionis, upon initiation of our elsunersen EMBRAVE study, as well as prior year study activity; and</w:t>
      </w:r>
    </w:p>
    <w:p>
      <w:pPr>
        <w:spacing w:after="0" w:line="75"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$8.5 million increase in personnel-related costs, primarily stock-based compensation expense.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$9.1 million increase in general and administrative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$8.3 million increase in personnel-related costs mainly due to increased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$0.3 million increase in professional fees, primarily audit fees;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$0.5 million increase in other expenses, none of which were individually significant.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ind w:right="900" w:firstLine="445"/>
        <w:spacing w:after="0" w:line="287" w:lineRule="auto"/>
        <w:rPr>
          <w:sz w:val="20"/>
          <w:szCs w:val="20"/>
          <w:color w:val="auto"/>
        </w:rPr>
      </w:pPr>
      <w:r>
        <w:rPr>
          <w:rFonts w:ascii="Arial" w:cs="Arial" w:eastAsia="Arial" w:hAnsi="Arial"/>
          <w:sz w:val="18"/>
          <w:szCs w:val="18"/>
          <w:color w:val="auto"/>
        </w:rPr>
        <w:t>Other income for the nine months ended September 30, 2024 and 2023 was comprised of interest income on our cash, cash equivalents, and marketable securities and investment premium and discount amortization.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5"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171"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To date, we have financed our operations primarily with proceeds from the issuance of redeemable convertible preferred stock and from the sale of common stock through an initial public offering, common stock and pre-funded warrants through follow-on public offerings and common stock from at-the-market offerings under our shelf registration statement. From inception through September 30, 2024, we have raised $1.0 billion in aggregate cash proceeds from such transactions, net of issuance costs. As of September 30, 2024, we had cash, cash equivalents and marketable securities of $411.2 million.</w:t>
      </w:r>
    </w:p>
    <w:p>
      <w:pPr>
        <w:spacing w:after="0" w:line="179"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In November 2021, we entered into an Open Market Sale Agreement, or the 2021 Sales Agreement, with Jefferies LLC, or Jefferies, to provide for the offering, issuance and sale of up to an aggregate amount of $125.0 million of common stock from time to time in at-the-market offerings for which Jefferies acted as sales agent. We terminated the 2021 Sales Agreement in June 2023.</w:t>
      </w:r>
    </w:p>
    <w:p>
      <w:pPr>
        <w:spacing w:after="0" w:line="171"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On June 21, 2023, we completed a public offering of: (i) an aggregate of 4,296,646 shares of common stock at a public offering price of $14.25 per share, including the underwriters' full exercise of their option to purchase 619,979 additional shares of common stock, and (ii) pre-funded warrants to purchase 470,000 shares of common stock at a public offering price of $14.2485 per share. The purchase prices per share for each pre-funded warrant represents the per share offering price for the common stock, less the $0.0015 per share exercise price for each underlying share. Total net proceeds generated from the offering were approximately $63.4 million, after deducting</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9" w:name="page30"/>
    <w:bookmarkEnd w:id="29"/>
    <w:p>
      <w:pPr>
        <w:ind w:right="540"/>
        <w:spacing w:after="0" w:line="287" w:lineRule="auto"/>
        <w:rPr>
          <w:sz w:val="20"/>
          <w:szCs w:val="20"/>
          <w:color w:val="auto"/>
        </w:rPr>
      </w:pPr>
      <w:r>
        <w:rPr>
          <w:rFonts w:ascii="Arial" w:cs="Arial" w:eastAsia="Arial" w:hAnsi="Arial"/>
          <w:sz w:val="18"/>
          <w:szCs w:val="18"/>
          <w:color w:val="auto"/>
        </w:rPr>
        <w:t>underwriting discounts, commissions and other offering expenses payable by us. As of June 30, 2024, all warrants associated with this offering were exercised on a cashless basis with no proceeds received by the Company.</w:t>
      </w:r>
    </w:p>
    <w:p>
      <w:pPr>
        <w:spacing w:after="0" w:line="153"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In December 2023, we entered into an Open Market Sale Agreement, or the 2023 Sales Agreement, with Jefferies, to provide for the offering, issuance and sale of up to an aggregate amount of $ 75.0 million of common stock in at-the-market offerings. The 2023 Sales Agreement was terminated in January 2024. During the three months ended March 31, 2024, we issued and sold an aggregate of 192,190 shares under the 2023 Sales Agreement for aggregate net proceeds of $5.3 million, after deducting commissions and offering expenses payable by us.</w:t>
      </w:r>
    </w:p>
    <w:p>
      <w:pPr>
        <w:spacing w:after="0" w:line="179" w:lineRule="exact"/>
        <w:rPr>
          <w:sz w:val="20"/>
          <w:szCs w:val="20"/>
          <w:color w:val="auto"/>
        </w:rPr>
      </w:pPr>
    </w:p>
    <w:p>
      <w:pPr>
        <w:ind w:firstLine="445"/>
        <w:spacing w:after="0" w:line="274" w:lineRule="auto"/>
        <w:rPr>
          <w:sz w:val="20"/>
          <w:szCs w:val="20"/>
          <w:color w:val="auto"/>
        </w:rPr>
      </w:pPr>
      <w:r>
        <w:rPr>
          <w:rFonts w:ascii="Arial" w:cs="Arial" w:eastAsia="Arial" w:hAnsi="Arial"/>
          <w:sz w:val="17"/>
          <w:szCs w:val="17"/>
          <w:color w:val="auto"/>
        </w:rPr>
        <w:t>On January 16, 2024, we completed a public offering of: (i) an aggregate of 3,802,025 shares of our common stock at a public offering price of $35.50 per share, including the underwriters' full exercise of their option to purchase 633,750 additional shares of common stock, and (ii) pre-funded warrants to purchase 1,056,725 shares of common stock at a public offering price of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us. As of September 30, 2024, 152,145 warrants associated with this offering were exercised on a cashless basis with no cash proceeds received by the Company.</w:t>
      </w:r>
    </w:p>
    <w:p>
      <w:pPr>
        <w:spacing w:after="0" w:line="166" w:lineRule="exact"/>
        <w:rPr>
          <w:sz w:val="20"/>
          <w:szCs w:val="20"/>
          <w:color w:val="auto"/>
        </w:rPr>
      </w:pPr>
    </w:p>
    <w:p>
      <w:pPr>
        <w:ind w:right="160" w:firstLine="445"/>
        <w:spacing w:after="0" w:line="262" w:lineRule="auto"/>
        <w:rPr>
          <w:sz w:val="20"/>
          <w:szCs w:val="20"/>
          <w:color w:val="auto"/>
        </w:rPr>
      </w:pPr>
      <w:r>
        <w:rPr>
          <w:rFonts w:ascii="Arial" w:cs="Arial" w:eastAsia="Arial" w:hAnsi="Arial"/>
          <w:sz w:val="18"/>
          <w:szCs w:val="18"/>
          <w:color w:val="auto"/>
        </w:rPr>
        <w:t>In March 2024, we entered into an Open Market Sale Agreement, or the 2024 Sales Agreement, with Jefferies, to provide for the offering, issuance, and sale of up to an aggregate amount of $150.0 million of common stock in at-the-market offerings. During the nine months ended September 30, 2024, we issued and sold an aggregate of 42,851 shares under the 2024 Sales Agreement for aggregate net proceeds of $2.3 million, after deducting commissions and offering expenses payable by us.</w:t>
      </w:r>
    </w:p>
    <w:p>
      <w:pPr>
        <w:spacing w:after="0" w:line="17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April 2, 2024, we completed a public offering of: (i) an aggregate of 3,849,558 shares of our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$216.0 million, after deducting underwriting discounts, commissions and other offering expenses payable by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143"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Nine Months Ended</w:t>
      </w:r>
    </w:p>
    <w:p>
      <w:pPr>
        <w:jc w:val="center"/>
        <w:ind w:left="8040"/>
        <w:spacing w:after="0"/>
        <w:rPr>
          <w:sz w:val="20"/>
          <w:szCs w:val="20"/>
          <w:color w:val="auto"/>
        </w:rPr>
      </w:pPr>
      <w:r>
        <w:rPr>
          <w:rFonts w:ascii="Arial" w:cs="Arial" w:eastAsia="Arial" w:hAnsi="Arial"/>
          <w:sz w:val="16"/>
          <w:szCs w:val="16"/>
          <w:b w:val="1"/>
          <w:bCs w:val="1"/>
          <w:color w:val="auto"/>
        </w:rPr>
        <w:t>September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(75,635)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459"/>
              <w:spacing w:after="0"/>
              <w:rPr>
                <w:sz w:val="20"/>
                <w:szCs w:val="20"/>
                <w:color w:val="auto"/>
              </w:rPr>
            </w:pPr>
            <w:r>
              <w:rPr>
                <w:rFonts w:ascii="Arial" w:cs="Arial" w:eastAsia="Arial" w:hAnsi="Arial"/>
                <w:sz w:val="16"/>
                <w:szCs w:val="16"/>
                <w:color w:val="auto"/>
              </w:rPr>
              <w:t>(87,275)</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98"/>
              </w:rPr>
              <w:t>39,000</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98"/>
              </w:rPr>
              <w:t>87,745</w:t>
            </w:r>
          </w:p>
        </w:tc>
      </w:tr>
      <w:tr>
        <w:trPr>
          <w:trHeight w:val="23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87,345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479"/>
              <w:spacing w:after="0"/>
              <w:rPr>
                <w:sz w:val="20"/>
                <w:szCs w:val="20"/>
                <w:color w:val="auto"/>
              </w:rPr>
            </w:pPr>
            <w:r>
              <w:rPr>
                <w:rFonts w:ascii="Arial" w:cs="Arial" w:eastAsia="Arial" w:hAnsi="Arial"/>
                <w:sz w:val="16"/>
                <w:szCs w:val="16"/>
                <w:color w:val="auto"/>
                <w:w w:val="98"/>
              </w:rPr>
              <w:t>39,470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 which are primarily the result of increased expenses and timing of vendor payments.</w:t>
      </w:r>
    </w:p>
    <w:p>
      <w:pPr>
        <w:spacing w:after="0" w:line="179" w:lineRule="exact"/>
        <w:rPr>
          <w:sz w:val="20"/>
          <w:szCs w:val="20"/>
          <w:color w:val="auto"/>
        </w:rPr>
      </w:pPr>
    </w:p>
    <w:p>
      <w:pPr>
        <w:ind w:right="520" w:firstLine="445"/>
        <w:spacing w:after="0" w:line="287" w:lineRule="auto"/>
        <w:rPr>
          <w:sz w:val="20"/>
          <w:szCs w:val="20"/>
          <w:color w:val="auto"/>
        </w:rPr>
      </w:pPr>
      <w:r>
        <w:rPr>
          <w:rFonts w:ascii="Arial" w:cs="Arial" w:eastAsia="Arial" w:hAnsi="Arial"/>
          <w:sz w:val="18"/>
          <w:szCs w:val="18"/>
          <w:color w:val="auto"/>
        </w:rPr>
        <w:t>During the nine months ended September 30, 2024, net cash used in operating activities of $75.6 million was primarily due to our $124.1 million net loss, partially offset by $15.8 million in changes in operating assets 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ind w:right="40"/>
        <w:spacing w:after="0" w:line="287" w:lineRule="auto"/>
        <w:rPr>
          <w:sz w:val="20"/>
          <w:szCs w:val="20"/>
          <w:color w:val="auto"/>
        </w:rPr>
      </w:pPr>
      <w:r>
        <w:rPr>
          <w:rFonts w:ascii="Arial" w:cs="Arial" w:eastAsia="Arial" w:hAnsi="Arial"/>
          <w:sz w:val="18"/>
          <w:szCs w:val="18"/>
          <w:color w:val="auto"/>
        </w:rPr>
        <w:t>liabilities primarily related to increases in accounts payable and accrued expenses, and $32.7 million of non-cash charges primarily related to stock-based compensation.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nine months ended September 30, 2023, net cash used in operating activities of $87.3 million was primarily due to 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$96.4 million net loss and $11.0 million in changes in operating assets and liabilities primarily related to decreases in accrued expenses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partially offset by $20.1 million of non-cash charges primarily related to stock-based compensation.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ind w:right="520" w:firstLine="445"/>
        <w:spacing w:after="0" w:line="287" w:lineRule="auto"/>
        <w:rPr>
          <w:sz w:val="20"/>
          <w:szCs w:val="20"/>
          <w:color w:val="auto"/>
        </w:rPr>
      </w:pPr>
      <w:r>
        <w:rPr>
          <w:rFonts w:ascii="Arial" w:cs="Arial" w:eastAsia="Arial" w:hAnsi="Arial"/>
          <w:sz w:val="18"/>
          <w:szCs w:val="18"/>
          <w:color w:val="auto"/>
        </w:rPr>
        <w:t>During the nine months ended September 30, 2024, net cash used in investing activities of $237.6 million was primarily related to purchases of marketable securities partially offset by maturities of marketable securities.</w:t>
      </w:r>
    </w:p>
    <w:p>
      <w:pPr>
        <w:spacing w:after="0" w:line="153" w:lineRule="exact"/>
        <w:rPr>
          <w:sz w:val="20"/>
          <w:szCs w:val="20"/>
          <w:color w:val="auto"/>
        </w:rPr>
      </w:pPr>
    </w:p>
    <w:p>
      <w:pPr>
        <w:ind w:right="180" w:firstLine="445"/>
        <w:spacing w:after="0" w:line="287" w:lineRule="auto"/>
        <w:rPr>
          <w:sz w:val="20"/>
          <w:szCs w:val="20"/>
          <w:color w:val="auto"/>
        </w:rPr>
      </w:pPr>
      <w:r>
        <w:rPr>
          <w:rFonts w:ascii="Arial" w:cs="Arial" w:eastAsia="Arial" w:hAnsi="Arial"/>
          <w:sz w:val="18"/>
          <w:szCs w:val="18"/>
          <w:color w:val="auto"/>
        </w:rPr>
        <w:t>During the nine months ended September 30, 2023, net cash provided by investing activities of $39.0 million was related to maturities of marketable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During the nine months ended September 30, 2024, net cash provided by financing activities of $400.6 million consisted primarily of net proceeds from our January 2024 and April 2024 follow-on public offerings, our at-the-market offerings and our collaboration and license agreement with Tenacia.</w:t>
      </w:r>
    </w:p>
    <w:p>
      <w:pPr>
        <w:spacing w:after="0" w:line="171"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During the nine months ended September 30, 2023, net cash provided by financing activities of $87.7 million consisted primarily of net proceeds from at-the-market offerings and our June 2023 follow-on public offering.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15" w:lineRule="exact"/>
        <w:rPr>
          <w:sz w:val="20"/>
          <w:szCs w:val="20"/>
          <w:color w:val="auto"/>
        </w:rPr>
      </w:pPr>
    </w:p>
    <w:p>
      <w:pPr>
        <w:jc w:val="both"/>
        <w:ind w:right="160" w:firstLine="445"/>
        <w:spacing w:after="0" w:line="268"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the clinical development of our clinical-stage product candidates within our Cerebrum™ and Solidus™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our IP portfolio and opportunistically acquire complementary 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71"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98"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when needed,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16" w:lineRule="exact"/>
        <w:rPr>
          <w:rFonts w:ascii="Arial" w:cs="Arial" w:eastAsia="Arial" w:hAnsi="Arial"/>
          <w:sz w:val="18"/>
          <w:szCs w:val="18"/>
          <w:color w:val="auto"/>
        </w:rPr>
      </w:pPr>
    </w:p>
    <w:p>
      <w:pPr>
        <w:ind w:left="660" w:right="40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53"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We are unable to estimate the exact amount of our working capital requirements, but based on our current operating plan, we believe that our cash, cash equivalents, and marketable securities as of September 30, 2024 will be sufficient to fund our operating expenses and capital expenditure requirements into 2027. However, we have based this estimate on assumptions that may prove to be wrong and we could exhaust our capital resources sooner than we expect.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1" w:name="page32"/>
    <w:bookmarkEnd w:id="31"/>
    <w:p>
      <w:pPr>
        <w:ind w:firstLine="445"/>
        <w:spacing w:after="0" w:line="262" w:lineRule="auto"/>
        <w:rPr>
          <w:sz w:val="20"/>
          <w:szCs w:val="20"/>
          <w:color w:val="auto"/>
        </w:rPr>
      </w:pPr>
      <w:r>
        <w:rPr>
          <w:rFonts w:ascii="Arial" w:cs="Arial" w:eastAsia="Arial" w:hAnsi="Arial"/>
          <w:sz w:val="18"/>
          <w:szCs w:val="18"/>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22"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platforms and product candidates;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technologies that we develop or may in-license;</w:t>
      </w:r>
    </w:p>
    <w:p>
      <w:pPr>
        <w:spacing w:after="0" w:line="171" w:lineRule="exact"/>
        <w:rPr>
          <w:rFonts w:ascii="Arial" w:cs="Arial" w:eastAsia="Arial" w:hAnsi="Arial"/>
          <w:sz w:val="18"/>
          <w:szCs w:val="18"/>
          <w:color w:val="auto"/>
        </w:rPr>
      </w:pPr>
    </w:p>
    <w:p>
      <w:pPr>
        <w:ind w:left="820" w:right="20" w:hanging="326"/>
        <w:spacing w:after="0" w:line="287"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98" w:lineRule="exact"/>
        <w:rPr>
          <w:rFonts w:ascii="Arial" w:cs="Arial" w:eastAsia="Arial" w:hAnsi="Arial"/>
          <w:sz w:val="18"/>
          <w:szCs w:val="18"/>
          <w:color w:val="auto"/>
        </w:rPr>
      </w:pPr>
    </w:p>
    <w:p>
      <w:pPr>
        <w:ind w:left="820" w:right="40" w:hanging="326"/>
        <w:spacing w:after="0" w:line="287"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98" w:lineRule="exact"/>
        <w:rPr>
          <w:rFonts w:ascii="Arial" w:cs="Arial" w:eastAsia="Arial" w:hAnsi="Arial"/>
          <w:sz w:val="18"/>
          <w:szCs w:val="18"/>
          <w:color w:val="auto"/>
        </w:rPr>
      </w:pPr>
    </w:p>
    <w:p>
      <w:pPr>
        <w:ind w:left="820" w:right="80" w:hanging="326"/>
        <w:spacing w:after="0" w:line="287"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IP rights and defending any IP-related claims;</w:t>
      </w:r>
    </w:p>
    <w:p>
      <w:pPr>
        <w:spacing w:after="0" w:line="9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71" w:lineRule="exact"/>
        <w:rPr>
          <w:rFonts w:ascii="Arial" w:cs="Arial" w:eastAsia="Arial" w:hAnsi="Arial"/>
          <w:sz w:val="18"/>
          <w:szCs w:val="18"/>
          <w:color w:val="auto"/>
        </w:rPr>
      </w:pPr>
    </w:p>
    <w:p>
      <w:pPr>
        <w:ind w:left="820" w:right="40" w:hanging="326"/>
        <w:spacing w:after="0" w:line="268"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71"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79"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183"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March 5, 2024, other than as disclosed in Note 2 to our condensed consolidated financial statements appearing elsewhere in this Quarterly Report on Form 10-Q.</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20" w:firstLine="445"/>
        <w:spacing w:after="0" w:line="278"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cash, cash equivalents and marketable securities we may hold at any time may be in the form of money market funds or marketable debt securities or may be invested in U.S. Treasury and U.S. government agency obligations. However, because of the low risk profile of the instruments in our portfolio at any given time, an immediate change in market interest rates of 100 basis points would not have a material impact on our financial position or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5"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85"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2024. Based on the evaluation of our disclosure controls and procedures as of September 30, 2024,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6" w:right="49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400" w:firstLine="445"/>
        <w:spacing w:after="0" w:line="287" w:lineRule="auto"/>
        <w:rPr>
          <w:sz w:val="20"/>
          <w:szCs w:val="20"/>
          <w:color w:val="auto"/>
        </w:rPr>
      </w:pPr>
      <w:r>
        <w:rPr>
          <w:rFonts w:ascii="Arial" w:cs="Arial" w:eastAsia="Arial" w:hAnsi="Arial"/>
          <w:sz w:val="18"/>
          <w:szCs w:val="18"/>
          <w:color w:val="auto"/>
        </w:rPr>
        <w:t>There have been no material changes from the risk factors previously disclosed in the section entitled "Risk Factors" of our Annual Report on Form 10-K for the year ended December 31, 2023 filed with the SEC on March 5, 2024.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sales of unregistered securities during the three months ended September 30, 2024.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820" w:right="5280" w:hanging="407"/>
        <w:spacing w:after="0" w:line="375" w:lineRule="auto"/>
        <w:tabs>
          <w:tab w:leader="none" w:pos="8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Disclosure in lieu of reporting on a Current Report on Form 8-K. None.</w:t>
      </w:r>
    </w:p>
    <w:p>
      <w:pPr>
        <w:spacing w:after="0" w:line="1" w:lineRule="exact"/>
        <w:rPr>
          <w:rFonts w:ascii="Arial" w:cs="Arial" w:eastAsia="Arial" w:hAnsi="Arial"/>
          <w:sz w:val="18"/>
          <w:szCs w:val="18"/>
          <w:color w:val="auto"/>
        </w:rPr>
      </w:pPr>
    </w:p>
    <w:p>
      <w:pPr>
        <w:ind w:left="820" w:right="1240" w:hanging="407"/>
        <w:spacing w:after="0" w:line="375" w:lineRule="auto"/>
        <w:tabs>
          <w:tab w:leader="none" w:pos="8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changes to the procedures by which security holders may recommend nominees to the board of directors. None.</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pacing w:after="0" w:line="117" w:lineRule="exact"/>
        <w:rPr>
          <w:rFonts w:ascii="Arial" w:cs="Arial" w:eastAsia="Arial" w:hAnsi="Arial"/>
          <w:sz w:val="18"/>
          <w:szCs w:val="18"/>
          <w:color w:val="auto"/>
        </w:rPr>
      </w:pPr>
    </w:p>
    <w:p>
      <w:pPr>
        <w:ind w:left="820" w:right="160"/>
        <w:spacing w:after="0" w:line="287" w:lineRule="auto"/>
        <w:rPr>
          <w:rFonts w:ascii="Arial" w:cs="Arial" w:eastAsia="Arial" w:hAnsi="Arial"/>
          <w:sz w:val="18"/>
          <w:szCs w:val="18"/>
          <w:color w:val="auto"/>
        </w:rPr>
      </w:pPr>
      <w:r>
        <w:rPr>
          <w:rFonts w:ascii="Arial" w:cs="Arial" w:eastAsia="Arial" w:hAnsi="Arial"/>
          <w:sz w:val="18"/>
          <w:szCs w:val="18"/>
          <w:color w:val="auto"/>
        </w:rPr>
        <w:t>During the three months ended September 30,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2"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00" w:type="dxa"/>
            <w:vAlign w:val="bottom"/>
            <w:gridSpan w:val="6"/>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120" w:type="dxa"/>
            <w:vAlign w:val="bottom"/>
            <w:gridSpan w:val="21"/>
            <w:vMerge w:val="restart"/>
          </w:tcPr>
          <w:p>
            <w:pPr>
              <w:ind w:left="14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6"/>
          </w:tcPr>
          <w:p>
            <w:pP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120" w:type="dxa"/>
            <w:vAlign w:val="bottom"/>
            <w:gridSpan w:val="2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Borders>
              <w:top w:val="single" w:sz="8" w:color="auto"/>
            </w:tcBorders>
            <w:gridSpan w:val="3"/>
          </w:tcPr>
          <w:p>
            <w:pPr>
              <w:ind w:left="20"/>
              <w:spacing w:after="0"/>
              <w:rPr>
                <w:rFonts w:ascii="Arial" w:cs="Arial" w:eastAsia="Arial" w:hAnsi="Arial"/>
                <w:sz w:val="18"/>
                <w:szCs w:val="18"/>
                <w:color w:val="0000FF"/>
              </w:rPr>
            </w:pPr>
            <w:hyperlink r:id="rId5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460" w:type="dxa"/>
            <w:vAlign w:val="bottom"/>
            <w:tcBorders>
              <w:top w:val="single" w:sz="8" w:color="auto"/>
            </w:tcBorders>
            <w:gridSpan w:val="24"/>
          </w:tcPr>
          <w:p>
            <w:pPr>
              <w:spacing w:after="0"/>
              <w:rPr>
                <w:rFonts w:ascii="Arial" w:cs="Arial" w:eastAsia="Arial" w:hAnsi="Arial"/>
                <w:sz w:val="18"/>
                <w:szCs w:val="18"/>
                <w:color w:val="0000FF"/>
              </w:rPr>
            </w:pPr>
            <w:hyperlink r:id="rId56">
              <w:r>
                <w:rPr>
                  <w:rFonts w:ascii="Arial" w:cs="Arial" w:eastAsia="Arial" w:hAnsi="Arial"/>
                  <w:sz w:val="18"/>
                  <w:szCs w:val="18"/>
                  <w:color w:val="0000FF"/>
                </w:rPr>
                <w:t>Amended and Restated Certificate of Incorporation of Praxis Precision Medicines, Inc.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reference to Exhibit 3.1 to the Registrant's Current Report on Form 8-K (File No. 001-39620) filed on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56">
              <w:r>
                <w:rPr>
                  <w:rFonts w:ascii="Arial" w:cs="Arial" w:eastAsia="Arial" w:hAnsi="Arial"/>
                  <w:sz w:val="18"/>
                  <w:szCs w:val="18"/>
                  <w:color w:val="0000FF"/>
                  <w:w w:val="98"/>
                </w:rPr>
                <w:t>October 20, 2020).</w:t>
              </w:r>
            </w:hyperlink>
          </w:p>
        </w:tc>
        <w:tc>
          <w:tcPr>
            <w:tcW w:w="6460" w:type="dxa"/>
            <w:vAlign w:val="bottom"/>
            <w:tcBorders>
              <w:top w:val="single" w:sz="8" w:color="0000FF"/>
            </w:tcBorders>
            <w:gridSpan w:val="11"/>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rPr>
            </w:pPr>
            <w:hyperlink r:id="rId5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4"/>
          </w:tcPr>
          <w:p>
            <w:pPr>
              <w:spacing w:after="0"/>
              <w:rPr>
                <w:rFonts w:ascii="Arial" w:cs="Arial" w:eastAsia="Arial" w:hAnsi="Arial"/>
                <w:sz w:val="18"/>
                <w:szCs w:val="18"/>
                <w:color w:val="0000FF"/>
              </w:rPr>
            </w:pPr>
            <w:hyperlink r:id="rId57">
              <w:r>
                <w:rPr>
                  <w:rFonts w:ascii="Arial" w:cs="Arial" w:eastAsia="Arial" w:hAnsi="Arial"/>
                  <w:sz w:val="18"/>
                  <w:szCs w:val="18"/>
                  <w:color w:val="0000FF"/>
                </w:rPr>
                <w:t>Amended and Restated Bylaws of Praxis Precision Medicines, Inc. (incorporated by reference to Exhibit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8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57">
              <w:r>
                <w:rPr>
                  <w:rFonts w:ascii="Arial" w:cs="Arial" w:eastAsia="Arial" w:hAnsi="Arial"/>
                  <w:sz w:val="18"/>
                  <w:szCs w:val="18"/>
                  <w:color w:val="0000FF"/>
                  <w:w w:val="99"/>
                </w:rPr>
                <w:t>3.</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Registrant's Current Report on Form 8-K (File No. 001-39620) filed on January 7, 2022).</w:t>
              </w:r>
            </w:hyperlink>
          </w:p>
        </w:tc>
        <w:tc>
          <w:tcPr>
            <w:tcW w:w="4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rPr>
            </w:pPr>
            <w:hyperlink r:id="rId58">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4"/>
          </w:tcPr>
          <w:p>
            <w:pPr>
              <w:spacing w:after="0"/>
              <w:rPr>
                <w:rFonts w:ascii="Arial" w:cs="Arial" w:eastAsia="Arial" w:hAnsi="Arial"/>
                <w:sz w:val="18"/>
                <w:szCs w:val="18"/>
                <w:color w:val="0000FF"/>
              </w:rPr>
            </w:pPr>
            <w:hyperlink r:id="rId58">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on Form 8-K (File No. 001-39620) filed on January 12, 2024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rPr>
            </w:pPr>
            <w:hyperlink r:id="rId59">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4"/>
          </w:tcPr>
          <w:p>
            <w:pPr>
              <w:spacing w:after="0"/>
              <w:rPr>
                <w:rFonts w:ascii="Arial" w:cs="Arial" w:eastAsia="Arial" w:hAnsi="Arial"/>
                <w:sz w:val="18"/>
                <w:szCs w:val="18"/>
                <w:color w:val="0000FF"/>
              </w:rPr>
            </w:pPr>
            <w:hyperlink r:id="rId59">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on Form 8-K (File No. 001-39620) filed on March 29, 2024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8"/>
                <w:szCs w:val="18"/>
                <w:color w:val="0000FF"/>
                <w:w w:val="96"/>
              </w:rPr>
            </w:pPr>
            <w:hyperlink r:id="rId60">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4"/>
          </w:tcPr>
          <w:p>
            <w:pPr>
              <w:spacing w:after="0"/>
              <w:rPr>
                <w:rFonts w:ascii="Arial" w:cs="Arial" w:eastAsia="Arial" w:hAnsi="Arial"/>
                <w:sz w:val="18"/>
                <w:szCs w:val="18"/>
                <w:color w:val="0000FF"/>
              </w:rPr>
            </w:pPr>
            <w:hyperlink r:id="rId60">
              <w:r>
                <w:rPr>
                  <w:rFonts w:ascii="Arial" w:cs="Arial" w:eastAsia="Arial" w:hAnsi="Arial"/>
                  <w:sz w:val="18"/>
                  <w:szCs w:val="18"/>
                  <w:color w:val="0000FF"/>
                </w:rPr>
                <w:t>Praxis Precision Medicines, Inc. 2020 Stock Option and Incentive Plan, as amended and restated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440" w:type="dxa"/>
            <w:vAlign w:val="bottom"/>
            <w:gridSpan w:val="23"/>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(incorporated by reference to Exhibit 10.1 to the Registrant’s Current Report on Form 8-K (File No. 001-</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60">
              <w:r>
                <w:rPr>
                  <w:rFonts w:ascii="Arial" w:cs="Arial" w:eastAsia="Arial" w:hAnsi="Arial"/>
                  <w:sz w:val="18"/>
                  <w:szCs w:val="18"/>
                  <w:color w:val="0000FF"/>
                  <w:w w:val="99"/>
                </w:rPr>
                <w:t>39620) filed on June 6, 2024)</w:t>
              </w:r>
            </w:hyperlink>
          </w:p>
        </w:tc>
        <w:tc>
          <w:tcPr>
            <w:tcW w:w="588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w w:val="96"/>
              </w:rPr>
            </w:pPr>
            <w:r>
              <w:rPr>
                <w:rFonts w:ascii="Arial" w:cs="Arial" w:eastAsia="Arial" w:hAnsi="Arial"/>
                <w:sz w:val="18"/>
                <w:szCs w:val="18"/>
                <w:color w:val="0000FF"/>
                <w:w w:val="96"/>
              </w:rPr>
              <w:t>10.</w:t>
            </w:r>
            <w:hyperlink r:id="rId61">
              <w:r>
                <w:rPr>
                  <w:rFonts w:ascii="Arial" w:cs="Arial" w:eastAsia="Arial" w:hAnsi="Arial"/>
                  <w:sz w:val="18"/>
                  <w:szCs w:val="18"/>
                  <w:u w:val="single" w:color="auto"/>
                  <w:color w:val="0000FF"/>
                  <w:w w:val="96"/>
                </w:rPr>
                <w:t>2</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4"/>
          </w:tcPr>
          <w:p>
            <w:pPr>
              <w:spacing w:after="0"/>
              <w:rPr>
                <w:rFonts w:ascii="Arial" w:cs="Arial" w:eastAsia="Arial" w:hAnsi="Arial"/>
                <w:sz w:val="18"/>
                <w:szCs w:val="18"/>
                <w:color w:val="0000FF"/>
              </w:rPr>
            </w:pPr>
            <w:hyperlink r:id="rId61">
              <w:r>
                <w:rPr>
                  <w:rFonts w:ascii="Arial" w:cs="Arial" w:eastAsia="Arial" w:hAnsi="Arial"/>
                  <w:sz w:val="18"/>
                  <w:szCs w:val="18"/>
                  <w:color w:val="0000FF"/>
                </w:rPr>
                <w:t>Employment Agreement Amendment Letter, dated October 11, 2024, by and between Marcio Souza and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Praxis Precision Medicines, Inc. (incorporated by reference to Exhibit 10.1 to the Registrant’s Current</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Report on Form 8-K (File No. 001-39620) filed on October 15, 2024)</w:t>
              </w:r>
            </w:hyperlink>
          </w:p>
        </w:tc>
        <w:tc>
          <w:tcPr>
            <w:tcW w:w="2620" w:type="dxa"/>
            <w:vAlign w:val="bottom"/>
            <w:tcBorders>
              <w:top w:val="single" w:sz="8" w:color="0000FF"/>
            </w:tcBorders>
            <w:gridSpan w:val="8"/>
          </w:tcPr>
          <w:p>
            <w:pPr>
              <w:spacing w:after="0"/>
              <w:rPr>
                <w:sz w:val="13"/>
                <w:szCs w:val="13"/>
                <w:color w:val="auto"/>
              </w:rPr>
            </w:pPr>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w w:val="96"/>
              </w:rPr>
            </w:pPr>
            <w:r>
              <w:rPr>
                <w:rFonts w:ascii="Arial" w:cs="Arial" w:eastAsia="Arial" w:hAnsi="Arial"/>
                <w:sz w:val="18"/>
                <w:szCs w:val="18"/>
                <w:color w:val="0000FF"/>
                <w:w w:val="96"/>
              </w:rPr>
              <w:t>10.</w:t>
            </w:r>
            <w:hyperlink r:id="rId62">
              <w:r>
                <w:rPr>
                  <w:rFonts w:ascii="Arial" w:cs="Arial" w:eastAsia="Arial" w:hAnsi="Arial"/>
                  <w:sz w:val="18"/>
                  <w:szCs w:val="18"/>
                  <w:u w:val="single" w:color="auto"/>
                  <w:color w:val="0000FF"/>
                  <w:w w:val="96"/>
                </w:rPr>
                <w:t>3</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4"/>
          </w:tcPr>
          <w:p>
            <w:pPr>
              <w:spacing w:after="0"/>
              <w:rPr>
                <w:rFonts w:ascii="Arial" w:cs="Arial" w:eastAsia="Arial" w:hAnsi="Arial"/>
                <w:sz w:val="18"/>
                <w:szCs w:val="18"/>
                <w:color w:val="0000FF"/>
              </w:rPr>
            </w:pPr>
            <w:hyperlink r:id="rId62">
              <w:r>
                <w:rPr>
                  <w:rFonts w:ascii="Arial" w:cs="Arial" w:eastAsia="Arial" w:hAnsi="Arial"/>
                  <w:sz w:val="18"/>
                  <w:szCs w:val="18"/>
                  <w:color w:val="0000FF"/>
                </w:rPr>
                <w:t>Employment Agreement Amendment Letter, dated October 11, 2024, by and between Timothy Kelly and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Praxis Precision Medicines, Inc. (incorporated by reference to Exhibit 10.2 to the Registrant’s Current</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Report on Form 8-K (File No. 001-39620) filed on October 15, 2024)</w:t>
              </w:r>
            </w:hyperlink>
          </w:p>
        </w:tc>
        <w:tc>
          <w:tcPr>
            <w:tcW w:w="2620" w:type="dxa"/>
            <w:vAlign w:val="bottom"/>
            <w:tcBorders>
              <w:top w:val="single" w:sz="8" w:color="0000FF"/>
            </w:tcBorders>
            <w:gridSpan w:val="8"/>
          </w:tcPr>
          <w:p>
            <w:pPr>
              <w:spacing w:after="0"/>
              <w:rPr>
                <w:sz w:val="13"/>
                <w:szCs w:val="13"/>
                <w:color w:val="auto"/>
              </w:rPr>
            </w:pPr>
          </w:p>
        </w:tc>
        <w:tc>
          <w:tcPr>
            <w:tcW w:w="26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w w:val="96"/>
              </w:rPr>
            </w:pPr>
            <w:r>
              <w:rPr>
                <w:rFonts w:ascii="Arial" w:cs="Arial" w:eastAsia="Arial" w:hAnsi="Arial"/>
                <w:sz w:val="18"/>
                <w:szCs w:val="18"/>
                <w:color w:val="0000FF"/>
                <w:w w:val="96"/>
              </w:rPr>
              <w:t>10.</w:t>
            </w:r>
            <w:hyperlink r:id="rId63">
              <w:r>
                <w:rPr>
                  <w:rFonts w:ascii="Arial" w:cs="Arial" w:eastAsia="Arial" w:hAnsi="Arial"/>
                  <w:sz w:val="18"/>
                  <w:szCs w:val="18"/>
                  <w:u w:val="single" w:color="auto"/>
                  <w:color w:val="0000FF"/>
                  <w:w w:val="96"/>
                </w:rPr>
                <w:t>4</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4"/>
          </w:tcPr>
          <w:p>
            <w:pPr>
              <w:spacing w:after="0"/>
              <w:rPr>
                <w:rFonts w:ascii="Arial" w:cs="Arial" w:eastAsia="Arial" w:hAnsi="Arial"/>
                <w:sz w:val="18"/>
                <w:szCs w:val="18"/>
                <w:color w:val="0000FF"/>
              </w:rPr>
            </w:pPr>
            <w:hyperlink r:id="rId63">
              <w:r>
                <w:rPr>
                  <w:rFonts w:ascii="Arial" w:cs="Arial" w:eastAsia="Arial" w:hAnsi="Arial"/>
                  <w:sz w:val="18"/>
                  <w:szCs w:val="18"/>
                  <w:color w:val="0000FF"/>
                </w:rPr>
                <w:t>Employment Agreement Amendment Letter, dated October 11, 2024, by and between Alex Nemiroff and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Praxis Precision Medicines, Inc. (incorporated by reference to Exhibit 10.3 to the Registrant’s Current</w:t>
              </w:r>
            </w:hyperlink>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Report on Form 8-K (File No. 001-39620) filed on October 15, 2024)</w:t>
              </w:r>
            </w:hyperlink>
          </w:p>
        </w:tc>
        <w:tc>
          <w:tcPr>
            <w:tcW w:w="2620" w:type="dxa"/>
            <w:vAlign w:val="bottom"/>
            <w:tcBorders>
              <w:top w:val="single" w:sz="8" w:color="0000FF"/>
            </w:tcBorders>
            <w:gridSpan w:val="8"/>
          </w:tcPr>
          <w:p>
            <w:pPr>
              <w:spacing w:after="0"/>
              <w:rPr>
                <w:sz w:val="13"/>
                <w:szCs w:val="13"/>
                <w:color w:val="auto"/>
              </w:rPr>
            </w:pPr>
          </w:p>
        </w:tc>
        <w:tc>
          <w:tcPr>
            <w:tcW w:w="340" w:type="dxa"/>
            <w:vAlign w:val="bottom"/>
            <w:gridSpan w:val="8"/>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5"/>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4"/>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580" w:type="dxa"/>
            <w:vAlign w:val="bottom"/>
            <w:tcBorders>
              <w:top w:val="single" w:sz="8" w:color="0000FF"/>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99"/>
              </w:rPr>
              <w:t>Exchange Act of 1934, as Adopted Pursuant to Section 302 of the Sarbanes-Oxley Act of 2002.</w:t>
            </w:r>
          </w:p>
        </w:tc>
        <w:tc>
          <w:tcPr>
            <w:tcW w:w="8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5"/>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4"/>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60" w:type="dxa"/>
            <w:vAlign w:val="bottom"/>
            <w:tcBorders>
              <w:top w:val="single" w:sz="8" w:color="0000FF"/>
            </w:tcBorders>
            <w:gridSpan w:val="21"/>
          </w:tcPr>
          <w:p>
            <w:pPr>
              <w:spacing w:after="0" w:line="156"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20" w:type="dxa"/>
            <w:vAlign w:val="bottom"/>
            <w:gridSpan w:val="6"/>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w:t>
            </w:r>
          </w:p>
        </w:tc>
        <w:tc>
          <w:tcPr>
            <w:tcW w:w="8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86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9"/>
              </w:rPr>
              <w:t>Section 1350, as Adopted Pursuant to Section 906 of the Sarbanes-Oxley Act of 2002.</w:t>
            </w:r>
          </w:p>
        </w:tc>
        <w:tc>
          <w:tcPr>
            <w:tcW w:w="640" w:type="dxa"/>
            <w:vAlign w:val="bottom"/>
            <w:tcBorders>
              <w:top w:val="single" w:sz="8" w:color="0000FF"/>
            </w:tcBorders>
          </w:tcPr>
          <w:p>
            <w:pPr>
              <w:spacing w:after="0"/>
              <w:rPr>
                <w:sz w:val="13"/>
                <w:szCs w:val="13"/>
                <w:color w:val="auto"/>
              </w:rPr>
            </w:pPr>
          </w:p>
        </w:tc>
        <w:tc>
          <w:tcPr>
            <w:tcW w:w="94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460" w:type="dxa"/>
            <w:vAlign w:val="bottom"/>
            <w:gridSpan w:val="24"/>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460" w:type="dxa"/>
            <w:vAlign w:val="bottom"/>
            <w:gridSpan w:val="2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460" w:type="dxa"/>
            <w:vAlign w:val="bottom"/>
            <w:gridSpan w:val="2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460" w:type="dxa"/>
            <w:vAlign w:val="bottom"/>
            <w:gridSpan w:val="2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460" w:type="dxa"/>
            <w:vAlign w:val="bottom"/>
            <w:gridSpan w:val="2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460" w:type="dxa"/>
            <w:vAlign w:val="bottom"/>
            <w:gridSpan w:val="2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right="3600" w:firstLine="26"/>
        <w:spacing w:after="0" w:line="307" w:lineRule="auto"/>
        <w:tabs>
          <w:tab w:leader="none" w:pos="13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340" w:hanging="332"/>
        <w:spacing w:after="0" w:line="255" w:lineRule="auto"/>
        <w:tabs>
          <w:tab w:leader="none" w:pos="3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6" w:name="page37"/>
    <w:bookmarkEnd w:id="36"/>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36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PRAXIS PRECISION MEDICINES, INC.</w:t>
      </w:r>
    </w:p>
    <w:p>
      <w:pPr>
        <w:spacing w:after="0" w:line="293"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November 6,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Marcio Souza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Officer and Director (Principal Executive</w:t>
      </w:r>
    </w:p>
    <w:p>
      <w:pPr>
        <w:ind w:left="8400"/>
        <w:spacing w:after="0"/>
        <w:rPr>
          <w:sz w:val="20"/>
          <w:szCs w:val="20"/>
          <w:color w:val="auto"/>
        </w:rPr>
      </w:pPr>
      <w:r>
        <w:rPr>
          <w:rFonts w:ascii="Arial" w:cs="Arial" w:eastAsia="Arial" w:hAnsi="Arial"/>
          <w:sz w:val="18"/>
          <w:szCs w:val="18"/>
          <w:b w:val="1"/>
          <w:bCs w:val="1"/>
          <w:color w:val="auto"/>
        </w:rPr>
        <w:t>Officer)</w:t>
      </w:r>
    </w:p>
    <w:p>
      <w:pPr>
        <w:spacing w:after="0" w:line="288"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November 6,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Timothy Kelly</w:t>
      </w:r>
    </w:p>
    <w:p>
      <w:pPr>
        <w:spacing w:after="0" w:line="40"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890"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Marcio Souza, certify that:</w:t>
      </w:r>
    </w:p>
    <w:p>
      <w:pPr>
        <w:spacing w:after="0" w:line="252"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Praxis Precision Medicines,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9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MARCIO SOUZA</w:t>
            </w:r>
          </w:p>
        </w:tc>
      </w:tr>
      <w:tr>
        <w:trPr>
          <w:trHeight w:val="218"/>
        </w:trPr>
        <w:tc>
          <w:tcPr>
            <w:tcW w:w="42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Marcio Souza</w:t>
            </w:r>
          </w:p>
        </w:tc>
      </w:tr>
      <w:tr>
        <w:trPr>
          <w:trHeight w:val="230"/>
        </w:trPr>
        <w:tc>
          <w:tcPr>
            <w:tcW w:w="4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Kelly, certify that:</w:t>
      </w:r>
    </w:p>
    <w:p>
      <w:pPr>
        <w:spacing w:after="0" w:line="252"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Praxis Precision Medicines,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9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KELLY</w:t>
            </w:r>
          </w:p>
        </w:tc>
      </w:tr>
      <w:tr>
        <w:trPr>
          <w:trHeight w:val="218"/>
        </w:trPr>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Kelly</w:t>
            </w:r>
          </w:p>
        </w:tc>
      </w:tr>
      <w:tr>
        <w:trPr>
          <w:trHeight w:val="229"/>
        </w:trPr>
        <w:tc>
          <w:tcPr>
            <w:tcW w:w="42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42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39" w:name="page40"/>
    <w:bookmarkEnd w:id="3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the Quarterly Report on Form 10-Q of Praxis Precision Medicines, Inc. (the “Company”) for the quarter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as filed with the Securities and Exchange Commission on the date hereof (the “Report”), the undersigned hereby certify, pursuant to 18 U.S.C.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their knowledge:</w:t>
      </w:r>
    </w:p>
    <w:p>
      <w:pPr>
        <w:spacing w:after="0" w:line="126" w:lineRule="exact"/>
        <w:rPr>
          <w:sz w:val="20"/>
          <w:szCs w:val="20"/>
          <w:color w:val="auto"/>
        </w:rPr>
      </w:pPr>
    </w:p>
    <w:p>
      <w:pPr>
        <w:ind w:left="740" w:hanging="327"/>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6, 2024</w:t>
            </w:r>
          </w:p>
        </w:tc>
        <w:tc>
          <w:tcPr>
            <w:tcW w:w="29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MARCIO SOUZA</w:t>
            </w:r>
          </w:p>
        </w:tc>
      </w:tr>
      <w:tr>
        <w:trPr>
          <w:trHeight w:val="218"/>
        </w:trPr>
        <w:tc>
          <w:tcPr>
            <w:tcW w:w="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Marcio Souza</w:t>
            </w:r>
          </w:p>
        </w:tc>
      </w:tr>
      <w:tr>
        <w:trPr>
          <w:trHeight w:val="230"/>
        </w:trPr>
        <w:tc>
          <w:tcPr>
            <w:tcW w:w="5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6, 2024</w:t>
            </w:r>
          </w:p>
        </w:tc>
        <w:tc>
          <w:tcPr>
            <w:tcW w:w="29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KELLY</w:t>
            </w:r>
          </w:p>
        </w:tc>
      </w:tr>
      <w:tr>
        <w:trPr>
          <w:trHeight w:val="218"/>
        </w:trPr>
        <w:tc>
          <w:tcPr>
            <w:tcW w:w="5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Kelly</w:t>
            </w:r>
          </w:p>
        </w:tc>
      </w:tr>
      <w:tr>
        <w:trPr>
          <w:trHeight w:val="229"/>
        </w:trPr>
        <w:tc>
          <w:tcPr>
            <w:tcW w:w="5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bullet"/>
      <w:start w:val="1"/>
    </w:lvl>
  </w:abstractNum>
  <w:abstractNum w:abstractNumId="4">
    <w:nsid w:val="6B68079A"/>
    <w:multiLevelType w:val="hybridMultilevel"/>
    <w:lvl w:ilvl="0">
      <w:lvlJc w:val="left"/>
      <w:lvlText w:val="1"/>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2"/>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lvl w:ilvl="1">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lvl w:ilvl="1">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
      <w:numFmt w:val="bullet"/>
      <w:start w:val="1"/>
    </w:lvl>
    <w:lvl w:ilvl="1">
      <w:lvlJc w:val="left"/>
      <w:lvlText w:val="%2"/>
      <w:numFmt w:val="decimal"/>
      <w:start w:val="104"/>
    </w:lvl>
  </w:abstractNum>
  <w:abstractNum w:abstractNumId="23">
    <w:nsid w:val="4353D0CD"/>
    <w:multiLevelType w:val="hybridMultilevel"/>
    <w:lvl w:ilvl="0">
      <w:lvlJc w:val="left"/>
      <w:lvlText w:val="**"/>
      <w:numFmt w:val="bullet"/>
      <w:start w:val="1"/>
    </w:lvl>
    <w:lvl w:ilvl="1">
      <w:lvlJc w:val="left"/>
      <w:lvlText w:val="%2"/>
      <w:numFmt w:val="decimal"/>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56" Type="http://schemas.openxmlformats.org/officeDocument/2006/relationships/hyperlink" Target="https://www.sec.gov/Archives/edgar/data/1689548/000119312520272877/d94620dex31.htm" TargetMode="External"/><Relationship Id="rId57" Type="http://schemas.openxmlformats.org/officeDocument/2006/relationships/hyperlink" Target="https://www.sec.gov/Archives/edgar/data/1689548/000110465922002260/tm222120d1_ex3-1.htm" TargetMode="External"/><Relationship Id="rId58" Type="http://schemas.openxmlformats.org/officeDocument/2006/relationships/hyperlink" Target="https://www.sec.gov/ix?doc=/Archives/edgar/data/0001689548/000110465924003764/tm243213d1_8k.htm" TargetMode="External"/><Relationship Id="rId59" Type="http://schemas.openxmlformats.org/officeDocument/2006/relationships/hyperlink" Target="https://www.sec.gov/ix?doc=/Archives/edgar/data/0001689548/000110465924041158/tm247764d6_8k.htm" TargetMode="External"/><Relationship Id="rId60" Type="http://schemas.openxmlformats.org/officeDocument/2006/relationships/hyperlink" Target="https://www.sec.gov/Archives/edgar/data/1689548/000168954824000073/praxis-2020stockoptionandi.htm" TargetMode="External"/><Relationship Id="rId61" Type="http://schemas.openxmlformats.org/officeDocument/2006/relationships/hyperlink" Target="https://www.sec.gov/Archives/edgar/data/1689548/000110465924108345/tm2426107d1_ex10-1.htm" TargetMode="External"/><Relationship Id="rId62" Type="http://schemas.openxmlformats.org/officeDocument/2006/relationships/hyperlink" Target="https://www.sec.gov/Archives/edgar/data/1689548/000110465924108345/tm2426107d1_ex10-2.htm" TargetMode="External"/><Relationship Id="rId63" Type="http://schemas.openxmlformats.org/officeDocument/2006/relationships/hyperlink" Target="https://www.sec.gov/Archives/edgar/data/1689548/000110465924108345/tm2426107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2024-11-06T07:16:57Z</dcterms:created>
  <dcterms:modified xsi:type="dcterms:W3CDTF">2024-11-06T07:16:57Z</dcterms:modified>
</cp:coreProperties>
</file>